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78" w:rsidRDefault="00BD4178" w:rsidP="00445E2A">
      <w:pPr>
        <w:autoSpaceDE w:val="0"/>
        <w:autoSpaceDN w:val="0"/>
        <w:adjustRightInd w:val="0"/>
        <w:spacing w:after="0" w:line="240" w:lineRule="auto"/>
        <w:jc w:val="center"/>
        <w:rPr>
          <w:rFonts w:ascii="Times New Roman" w:hAnsi="Times New Roman" w:cs="Times New Roman"/>
          <w:sz w:val="24"/>
          <w:szCs w:val="24"/>
        </w:rPr>
      </w:pPr>
      <w:r>
        <w:rPr>
          <w:noProof/>
          <w:sz w:val="24"/>
          <w:szCs w:val="24"/>
        </w:rPr>
        <w:drawing>
          <wp:anchor distT="36576" distB="36576" distL="36576" distR="36576" simplePos="0" relativeHeight="251658240" behindDoc="0" locked="0" layoutInCell="1" allowOverlap="1" wp14:anchorId="3F709058" wp14:editId="5C5E6678">
            <wp:simplePos x="0" y="0"/>
            <wp:positionH relativeFrom="column">
              <wp:posOffset>2343150</wp:posOffset>
            </wp:positionH>
            <wp:positionV relativeFrom="paragraph">
              <wp:posOffset>78105</wp:posOffset>
            </wp:positionV>
            <wp:extent cx="2257425" cy="390525"/>
            <wp:effectExtent l="0" t="0" r="0" b="0"/>
            <wp:wrapNone/>
            <wp:docPr id="2" name="Picture 2" descr="Alb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ion Logo"/>
                    <pic:cNvPicPr>
                      <a:picLocks noChangeAspect="1" noChangeArrowheads="1"/>
                    </pic:cNvPicPr>
                  </pic:nvPicPr>
                  <pic:blipFill>
                    <a:blip r:embed="rId8" cstate="print"/>
                    <a:srcRect/>
                    <a:stretch>
                      <a:fillRect/>
                    </a:stretch>
                  </pic:blipFill>
                  <pic:spPr bwMode="auto">
                    <a:xfrm>
                      <a:off x="0" y="0"/>
                      <a:ext cx="2257425" cy="390525"/>
                    </a:xfrm>
                    <a:prstGeom prst="rect">
                      <a:avLst/>
                    </a:prstGeom>
                    <a:noFill/>
                    <a:ln w="9525" algn="in">
                      <a:noFill/>
                      <a:miter lim="800000"/>
                      <a:headEnd/>
                      <a:tailEnd/>
                    </a:ln>
                    <a:effectLst/>
                  </pic:spPr>
                </pic:pic>
              </a:graphicData>
            </a:graphic>
            <wp14:sizeRelV relativeFrom="margin">
              <wp14:pctHeight>0</wp14:pctHeight>
            </wp14:sizeRelV>
          </wp:anchor>
        </w:drawing>
      </w:r>
    </w:p>
    <w:p w:rsidR="00BE2778" w:rsidRDefault="00BE2778" w:rsidP="00445E2A">
      <w:pPr>
        <w:autoSpaceDE w:val="0"/>
        <w:autoSpaceDN w:val="0"/>
        <w:adjustRightInd w:val="0"/>
        <w:spacing w:after="0" w:line="240" w:lineRule="auto"/>
        <w:jc w:val="center"/>
        <w:rPr>
          <w:rFonts w:ascii="Times New Roman" w:hAnsi="Times New Roman" w:cs="Times New Roman"/>
          <w:sz w:val="24"/>
          <w:szCs w:val="24"/>
        </w:rPr>
      </w:pPr>
    </w:p>
    <w:p w:rsidR="00BD4178" w:rsidRDefault="00B73461" w:rsidP="00445E2A">
      <w:pPr>
        <w:autoSpaceDE w:val="0"/>
        <w:autoSpaceDN w:val="0"/>
        <w:adjustRightInd w:val="0"/>
        <w:spacing w:after="0" w:line="240" w:lineRule="auto"/>
        <w:jc w:val="center"/>
        <w:rPr>
          <w:rFonts w:cs="Times New Roman"/>
          <w:b/>
          <w:sz w:val="32"/>
          <w:szCs w:val="32"/>
        </w:rPr>
      </w:pPr>
      <w:r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7847BA">
        <w:rPr>
          <w:rFonts w:ascii="Times New Roman" w:hAnsi="Times New Roman" w:cs="Times New Roman"/>
          <w:b/>
          <w:bCs/>
          <w:color w:val="000000"/>
          <w:sz w:val="28"/>
          <w:szCs w:val="28"/>
        </w:rPr>
        <w:t>3</w:t>
      </w:r>
      <w:r w:rsidRPr="00445E2A">
        <w:rPr>
          <w:rFonts w:ascii="Times New Roman" w:hAnsi="Times New Roman" w:cs="Times New Roman"/>
          <w:b/>
          <w:bCs/>
          <w:color w:val="000000"/>
          <w:sz w:val="28"/>
          <w:szCs w:val="28"/>
        </w:rPr>
        <w:t xml:space="preserve"> 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w:t>
      </w:r>
      <w:r w:rsidR="00867BC8">
        <w:rPr>
          <w:rFonts w:ascii="Times New Roman" w:hAnsi="Times New Roman" w:cs="Times New Roman"/>
          <w:color w:val="000000"/>
          <w:sz w:val="24"/>
          <w:szCs w:val="24"/>
        </w:rPr>
        <w:t xml:space="preserve"> </w:t>
      </w:r>
      <w:r w:rsidR="004D5E34">
        <w:rPr>
          <w:rFonts w:ascii="Times New Roman" w:hAnsi="Times New Roman" w:cs="Times New Roman"/>
          <w:color w:val="000000"/>
          <w:sz w:val="24"/>
          <w:szCs w:val="24"/>
        </w:rPr>
        <w:t>Mr. Kenneth Snyder, Ass</w:t>
      </w:r>
      <w:r w:rsidR="00CB324A">
        <w:rPr>
          <w:rFonts w:ascii="Times New Roman" w:hAnsi="Times New Roman" w:cs="Times New Roman"/>
          <w:color w:val="000000"/>
          <w:sz w:val="24"/>
          <w:szCs w:val="24"/>
        </w:rPr>
        <w:t>ociate Dean of Students</w:t>
      </w:r>
      <w:r w:rsidR="004D5E34">
        <w:rPr>
          <w:rFonts w:ascii="Times New Roman" w:hAnsi="Times New Roman" w:cs="Times New Roman"/>
          <w:color w:val="000000"/>
          <w:sz w:val="24"/>
          <w:szCs w:val="24"/>
        </w:rPr>
        <w:t>/Director for Campus Safety</w:t>
      </w:r>
      <w:r w:rsidR="00B177FB">
        <w:rPr>
          <w:rFonts w:ascii="Times New Roman" w:hAnsi="Times New Roman" w:cs="Times New Roman"/>
          <w:color w:val="000000"/>
          <w:sz w:val="24"/>
          <w:szCs w:val="24"/>
        </w:rPr>
        <w:t>, (</w:t>
      </w:r>
      <w:hyperlink r:id="rId9"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10"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867BC8">
        <w:t xml:space="preserve">by </w:t>
      </w:r>
      <w:r w:rsidR="00E37C99">
        <w:t>ca</w:t>
      </w:r>
      <w:r w:rsidR="00633D30">
        <w:t>lling 911</w:t>
      </w:r>
      <w:r w:rsidR="00E37C99">
        <w:t xml:space="preserve"> on your cell phone</w:t>
      </w:r>
      <w:r w:rsidR="00431677">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Campus Safety should be </w:t>
      </w:r>
      <w:r w:rsidR="00867BC8">
        <w:rPr>
          <w:rFonts w:ascii="Times New Roman" w:hAnsi="Times New Roman" w:cs="Times New Roman"/>
          <w:sz w:val="24"/>
          <w:szCs w:val="24"/>
        </w:rPr>
        <w:t xml:space="preserve">immediately </w:t>
      </w:r>
      <w:r>
        <w:rPr>
          <w:rFonts w:ascii="Times New Roman" w:hAnsi="Times New Roman" w:cs="Times New Roman"/>
          <w:sz w:val="24"/>
          <w:szCs w:val="24"/>
        </w:rPr>
        <w:t>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include fires, hazmat and explosion emergencies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personnel direct evacuation of a building. In the event of fire</w:t>
      </w:r>
      <w:r w:rsidR="00A7732A">
        <w:t>, fire alarm signal</w:t>
      </w:r>
      <w:r w:rsidRPr="00A7732A">
        <w:t xml:space="preserve"> or other evacuation emergencies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 or a horn,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186557" w:rsidP="00186557">
      <w:pPr>
        <w:pStyle w:val="Default"/>
      </w:pPr>
      <w:r w:rsidRPr="00A7732A">
        <w:t xml:space="preserve">All </w:t>
      </w:r>
      <w:r>
        <w:t xml:space="preserve">large </w:t>
      </w:r>
      <w:r w:rsidRPr="00A7732A">
        <w:t xml:space="preserve">residence hall </w:t>
      </w:r>
      <w:r>
        <w:t xml:space="preserve">hallways </w:t>
      </w:r>
      <w:r w:rsidRPr="00A7732A">
        <w:t xml:space="preserve">are equipped with evacuation maps posted </w:t>
      </w:r>
      <w:r>
        <w:t>in</w:t>
      </w:r>
      <w:r w:rsidR="00A34F76">
        <w:t>side</w:t>
      </w:r>
      <w:r>
        <w:t xml:space="preserve"> the</w:t>
      </w:r>
      <w:r w:rsidR="00A34F76">
        <w:t xml:space="preserve"> rooms</w:t>
      </w:r>
      <w:r>
        <w:t xml:space="preserve"> w</w:t>
      </w:r>
      <w:r w:rsidRPr="00A7732A">
        <w:t xml:space="preserve">hich indicate the safest and most direct exit routes from the room in the case of an emergency. </w:t>
      </w:r>
    </w:p>
    <w:p w:rsidR="00735FAA" w:rsidRDefault="00735FAA" w:rsidP="000B2E0C">
      <w:pPr>
        <w:spacing w:before="100" w:beforeAutospacing="1" w:after="100" w:afterAutospacing="1" w:line="240" w:lineRule="auto"/>
        <w:rPr>
          <w:rFonts w:ascii="Times New Roman" w:eastAsia="Times New Roman" w:hAnsi="Times New Roman" w:cs="Times New Roman"/>
          <w:b/>
          <w:bCs/>
          <w:sz w:val="24"/>
          <w:szCs w:val="24"/>
        </w:rPr>
      </w:pPr>
    </w:p>
    <w:p w:rsidR="00735FAA" w:rsidRDefault="00735FAA" w:rsidP="000B2E0C">
      <w:pPr>
        <w:spacing w:before="100" w:beforeAutospacing="1" w:after="100" w:afterAutospacing="1" w:line="240" w:lineRule="auto"/>
        <w:rPr>
          <w:rFonts w:ascii="Times New Roman" w:eastAsia="Times New Roman" w:hAnsi="Times New Roman" w:cs="Times New Roman"/>
          <w:b/>
          <w:bCs/>
          <w:sz w:val="24"/>
          <w:szCs w:val="24"/>
        </w:rPr>
      </w:pP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lastRenderedPageBreak/>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feel comfortable doing so, use a fire extinguisher to control or extinguish the fire while emergency personnel are </w:t>
      </w:r>
      <w:r w:rsidR="00633D30">
        <w:rPr>
          <w:rFonts w:ascii="Times New Roman" w:hAnsi="Times New Roman" w:cs="Times New Roman"/>
          <w:sz w:val="24"/>
          <w:szCs w:val="24"/>
        </w:rPr>
        <w:t>en</w:t>
      </w:r>
      <w:r w:rsidRPr="00D55279">
        <w:rPr>
          <w:rFonts w:ascii="Times New Roman" w:hAnsi="Times New Roman" w:cs="Times New Roman"/>
          <w:sz w:val="24"/>
          <w:szCs w:val="24"/>
        </w:rPr>
        <w:t xml:space="preserve"> route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(1234)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867BC8">
        <w:rPr>
          <w:rFonts w:ascii="Times New Roman" w:hAnsi="Times New Roman" w:cs="Times New Roman"/>
          <w:sz w:val="24"/>
          <w:szCs w:val="24"/>
        </w:rPr>
        <w:t>911 from cell phone</w:t>
      </w:r>
      <w:r w:rsidRPr="00D55279">
        <w:rPr>
          <w:rFonts w:ascii="Times New Roman" w:hAnsi="Times New Roman" w:cs="Times New Roman"/>
          <w:sz w:val="24"/>
          <w:szCs w:val="24"/>
        </w:rPr>
        <w:t>)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 alarm systems provide a rapid means of notifying all occupants of an emergency. </w:t>
      </w:r>
      <w:r w:rsidR="00867BC8">
        <w:rPr>
          <w:rFonts w:ascii="Times New Roman" w:hAnsi="Times New Roman" w:cs="Times New Roman"/>
          <w:sz w:val="24"/>
          <w:szCs w:val="24"/>
        </w:rPr>
        <w:t>Frequent false alarms can create</w:t>
      </w:r>
      <w:r w:rsidRPr="00D55279">
        <w:rPr>
          <w:rFonts w:ascii="Times New Roman" w:hAnsi="Times New Roman" w:cs="Times New Roman"/>
          <w:sz w:val="24"/>
          <w:szCs w:val="24"/>
        </w:rPr>
        <w:t xml:space="preserve"> a complacent attitude among the building residents</w:t>
      </w:r>
      <w:r w:rsidR="00867BC8">
        <w:rPr>
          <w:rFonts w:ascii="Times New Roman" w:hAnsi="Times New Roman" w:cs="Times New Roman"/>
          <w:sz w:val="24"/>
          <w:szCs w:val="24"/>
        </w:rPr>
        <w:t>,</w:t>
      </w:r>
      <w:r w:rsidRPr="00D55279">
        <w:rPr>
          <w:rFonts w:ascii="Times New Roman" w:hAnsi="Times New Roman" w:cs="Times New Roman"/>
          <w:sz w:val="24"/>
          <w:szCs w:val="24"/>
        </w:rPr>
        <w:t xml:space="preserve"> which may result in injury or death when the alarm is ignored in an actual emergency situation. Fire alarm systems such as pull boxes and smoke alarms may not be tampered with or altered for any reason.</w:t>
      </w:r>
    </w:p>
    <w:p w:rsidR="00257ED7" w:rsidRDefault="00257ED7" w:rsidP="00BE2778">
      <w:pPr>
        <w:spacing w:after="0" w:line="240" w:lineRule="auto"/>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lastRenderedPageBreak/>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 xml:space="preserve">powered electrical appliances are prohibited in </w:t>
      </w:r>
      <w:r w:rsidR="00867BC8">
        <w:rPr>
          <w:rFonts w:ascii="Times New Roman" w:hAnsi="Times New Roman" w:cs="Times New Roman"/>
          <w:sz w:val="24"/>
          <w:szCs w:val="24"/>
        </w:rPr>
        <w:t>residence halls.</w:t>
      </w:r>
      <w:r w:rsidRPr="00D55279">
        <w:rPr>
          <w:rFonts w:ascii="Times New Roman" w:hAnsi="Times New Roman" w:cs="Times New Roman"/>
          <w:sz w:val="24"/>
          <w:szCs w:val="24"/>
        </w:rPr>
        <w:t xml:space="preserve">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33D30" w:rsidRDefault="00633D30" w:rsidP="000B2E0C">
      <w:pPr>
        <w:rPr>
          <w:rFonts w:ascii="Times New Roman" w:hAnsi="Times New Roman" w:cs="Times New Roman"/>
          <w:b/>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Obstacles: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0B2E0C" w:rsidRPr="00D55279" w:rsidRDefault="000B2E0C" w:rsidP="000B2E0C">
      <w:pPr>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r w:rsidR="00867BC8">
        <w:rPr>
          <w:rFonts w:ascii="Times New Roman" w:hAnsi="Times New Roman" w:cs="Times New Roman"/>
          <w:sz w:val="24"/>
          <w:szCs w:val="24"/>
        </w:rPr>
        <w:t>.</w:t>
      </w:r>
    </w:p>
    <w:p w:rsidR="00BE2778" w:rsidRDefault="00BE2778" w:rsidP="00445E2A">
      <w:pPr>
        <w:pStyle w:val="Default"/>
        <w:rPr>
          <w:b/>
          <w:bCs/>
        </w:rPr>
      </w:pPr>
    </w:p>
    <w:p w:rsidR="00086FF8" w:rsidRDefault="00086FF8" w:rsidP="00445E2A">
      <w:pPr>
        <w:pStyle w:val="Default"/>
        <w:rPr>
          <w:b/>
          <w:bCs/>
        </w:rPr>
      </w:pPr>
      <w:r>
        <w:rPr>
          <w:b/>
          <w:bCs/>
        </w:rPr>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Animals (fish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186557" w:rsidRDefault="00186557" w:rsidP="00086FF8">
      <w:pPr>
        <w:pStyle w:val="parbody98108gar"/>
        <w:rPr>
          <w:rFonts w:ascii="Times New Roman" w:hAnsi="Times New Roman" w:cs="Times New Roman"/>
          <w:sz w:val="24"/>
          <w:szCs w:val="24"/>
        </w:rPr>
      </w:pP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lastRenderedPageBreak/>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867BC8" w:rsidRPr="00D92364" w:rsidRDefault="00867BC8" w:rsidP="00D92364">
      <w:pPr>
        <w:widowControl w:val="0"/>
        <w:tabs>
          <w:tab w:val="left" w:pos="260"/>
          <w:tab w:val="left" w:pos="540"/>
          <w:tab w:val="left" w:pos="820"/>
        </w:tabs>
        <w:suppressAutoHyphens/>
        <w:autoSpaceDE w:val="0"/>
        <w:autoSpaceDN w:val="0"/>
        <w:adjustRightInd w:val="0"/>
        <w:spacing w:line="240" w:lineRule="auto"/>
        <w:textAlignment w:val="center"/>
        <w:rPr>
          <w:rFonts w:ascii="Times New Roman" w:hAnsi="Times New Roman" w:cs="Times New Roman"/>
          <w:color w:val="000000"/>
          <w:spacing w:val="-1"/>
          <w:sz w:val="24"/>
          <w:szCs w:val="24"/>
        </w:rPr>
      </w:pPr>
      <w:r w:rsidRPr="00D92364">
        <w:rPr>
          <w:rFonts w:ascii="Times New Roman" w:hAnsi="Times New Roman" w:cs="Times New Roman"/>
          <w:color w:val="000000"/>
          <w:spacing w:val="-3"/>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 lobbies, hallways, and other common areas).  This policy includes the use of electronic cigarettes, personal vaporizers, or any other electronic nicotine delivery system. In addition, smoking is prohibited within 25 feet of all College buildings or along any access route to buildings where others may be exposed to secondhand smoke. Students who smoke inside the perimeters may be subject to disciplinary action.</w:t>
      </w:r>
    </w:p>
    <w:p w:rsidR="00D92364" w:rsidRDefault="00867BC8" w:rsidP="00D92364">
      <w:pPr>
        <w:widowControl w:val="0"/>
        <w:tabs>
          <w:tab w:val="left" w:pos="260"/>
          <w:tab w:val="left" w:pos="540"/>
          <w:tab w:val="left" w:pos="820"/>
        </w:tabs>
        <w:suppressAutoHyphens/>
        <w:autoSpaceDE w:val="0"/>
        <w:autoSpaceDN w:val="0"/>
        <w:adjustRightInd w:val="0"/>
        <w:spacing w:line="240" w:lineRule="auto"/>
        <w:textAlignment w:val="center"/>
        <w:rPr>
          <w:rFonts w:ascii="Times New Roman" w:hAnsi="Times New Roman" w:cs="Times New Roman"/>
          <w:color w:val="000000"/>
          <w:spacing w:val="-2"/>
          <w:sz w:val="24"/>
          <w:szCs w:val="24"/>
        </w:rPr>
      </w:pPr>
      <w:r w:rsidRPr="00D92364">
        <w:rPr>
          <w:rFonts w:ascii="Times New Roman" w:hAnsi="Times New Roman" w:cs="Times New Roman"/>
          <w:color w:val="000000"/>
          <w:spacing w:val="-2"/>
          <w:sz w:val="24"/>
          <w:szCs w:val="24"/>
        </w:rPr>
        <w:tab/>
        <w:t xml:space="preserve">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 </w:t>
      </w:r>
    </w:p>
    <w:p w:rsidR="00867BC8" w:rsidRPr="00D92364" w:rsidRDefault="00867BC8" w:rsidP="00D92364">
      <w:pPr>
        <w:widowControl w:val="0"/>
        <w:tabs>
          <w:tab w:val="left" w:pos="260"/>
          <w:tab w:val="left" w:pos="540"/>
          <w:tab w:val="left" w:pos="820"/>
        </w:tabs>
        <w:suppressAutoHyphens/>
        <w:autoSpaceDE w:val="0"/>
        <w:autoSpaceDN w:val="0"/>
        <w:adjustRightInd w:val="0"/>
        <w:spacing w:line="240" w:lineRule="auto"/>
        <w:textAlignment w:val="center"/>
        <w:rPr>
          <w:rFonts w:ascii="Times New Roman" w:hAnsi="Times New Roman" w:cs="Times New Roman"/>
          <w:color w:val="000000"/>
          <w:spacing w:val="-1"/>
          <w:sz w:val="24"/>
          <w:szCs w:val="24"/>
        </w:rPr>
      </w:pPr>
      <w:r w:rsidRPr="00D92364">
        <w:rPr>
          <w:rFonts w:ascii="Times New Roman" w:hAnsi="Times New Roman" w:cs="Times New Roman"/>
          <w:color w:val="000000"/>
          <w:spacing w:val="-2"/>
          <w:sz w:val="24"/>
          <w:szCs w:val="24"/>
        </w:rPr>
        <w:t>Dean Hall, Fiske House, Ingham Hall, Seaton Hall, Mitchell Towers, Wesley Hall, and Whitehouse Hall are smoke-free residences.</w:t>
      </w:r>
      <w:r w:rsidRPr="00D92364">
        <w:rPr>
          <w:rFonts w:ascii="Times New Roman" w:hAnsi="Times New Roman" w:cs="Times New Roman"/>
          <w:color w:val="000000"/>
          <w:spacing w:val="-1"/>
          <w:sz w:val="24"/>
          <w:szCs w:val="24"/>
        </w:rPr>
        <w:tab/>
        <w:t>In residential areas not designated as smoke-free housing areas (fraternities, apartments, and other annexes), smoking is prohibited in individual student rooms unless all occupants of the room agree that smoking should be permitted. Smoking is also prohibited in all common living areas of these buildings including but not limited to living rooms, kitchens, lounges, lobbies, hallways, laundry rooms, and basements.</w:t>
      </w: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lastRenderedPageBreak/>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 </w:t>
      </w:r>
      <w:hyperlink r:id="rId11" w:history="1">
        <w:r w:rsidR="00D92364" w:rsidRPr="00360A5B">
          <w:rPr>
            <w:rStyle w:val="Hyperlink"/>
            <w:rFonts w:ascii="Times New Roman" w:hAnsi="Times New Roman" w:cs="Times New Roman"/>
            <w:b w:val="0"/>
            <w:sz w:val="24"/>
            <w:szCs w:val="24"/>
          </w:rPr>
          <w:t>http://www.albion.edu/student-life/campus-safety/clery-report</w:t>
        </w:r>
      </w:hyperlink>
      <w:r w:rsidR="00D92364">
        <w:rPr>
          <w:rFonts w:ascii="Times New Roman" w:hAnsi="Times New Roman" w:cs="Times New Roman"/>
          <w:b w:val="0"/>
          <w:color w:val="000000"/>
          <w:sz w:val="24"/>
          <w:szCs w:val="24"/>
        </w:rPr>
        <w:t xml:space="preserve"> .</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AA69C4" w:rsidP="00445E2A">
      <w:pPr>
        <w:pStyle w:val="Default"/>
      </w:pPr>
      <w:r>
        <w:t>During the summer of 20</w:t>
      </w:r>
      <w:r w:rsidR="00B96E34">
        <w:t>1</w:t>
      </w:r>
      <w:r w:rsidR="007847BA">
        <w:t>3</w:t>
      </w:r>
      <w:r>
        <w:t xml:space="preserve"> all fire alarm systems, fire extinguishers and sprinkler systems in all </w:t>
      </w:r>
      <w:r w:rsidR="00E37C99">
        <w:t xml:space="preserve">applicable </w:t>
      </w:r>
      <w:r>
        <w:t>Albion College buildings were inspected and certified by authorized companies</w:t>
      </w:r>
      <w:r w:rsidR="00984626">
        <w:t xml:space="preserve"> </w:t>
      </w:r>
      <w:r>
        <w:t xml:space="preserve">contracted by Albion College.  </w:t>
      </w:r>
    </w:p>
    <w:p w:rsidR="00160DFD" w:rsidRDefault="00B64D35" w:rsidP="00445E2A">
      <w:pPr>
        <w:pStyle w:val="Default"/>
        <w:rPr>
          <w:b/>
        </w:rPr>
      </w:pPr>
      <w:r>
        <w:t xml:space="preserve"> </w:t>
      </w:r>
    </w:p>
    <w:p w:rsidR="00D55279" w:rsidRDefault="002B6B54" w:rsidP="00445E2A">
      <w:pPr>
        <w:pStyle w:val="Default"/>
        <w:rPr>
          <w:b/>
        </w:rPr>
      </w:pPr>
      <w:r>
        <w:rPr>
          <w:b/>
        </w:rPr>
        <w:t>20</w:t>
      </w:r>
      <w:r w:rsidR="00B96E34">
        <w:rPr>
          <w:b/>
        </w:rPr>
        <w:t>1</w:t>
      </w:r>
      <w:r w:rsidR="007847BA">
        <w:rPr>
          <w:b/>
        </w:rPr>
        <w:t>3</w:t>
      </w:r>
      <w:r>
        <w:rPr>
          <w:b/>
        </w:rPr>
        <w:t xml:space="preserve"> Updates and </w:t>
      </w:r>
      <w:r w:rsidR="00D55279" w:rsidRPr="00D55279">
        <w:rPr>
          <w:b/>
        </w:rPr>
        <w:t>Future Fire Protection System Updates:</w:t>
      </w:r>
    </w:p>
    <w:p w:rsidR="002B6B54" w:rsidRDefault="002B6B54" w:rsidP="00445E2A">
      <w:pPr>
        <w:pStyle w:val="Default"/>
        <w:rPr>
          <w:b/>
        </w:rPr>
      </w:pPr>
    </w:p>
    <w:p w:rsidR="002B6B54" w:rsidRPr="002B6B54" w:rsidRDefault="007847BA" w:rsidP="00445E2A">
      <w:pPr>
        <w:pStyle w:val="Default"/>
      </w:pPr>
      <w:r>
        <w:t xml:space="preserve">A new fire alarm system was installed in the Ingham Hall Annex.  </w:t>
      </w:r>
      <w:r w:rsidR="002B6B54">
        <w:t xml:space="preserve"> </w:t>
      </w:r>
    </w:p>
    <w:p w:rsidR="00EB0444" w:rsidRDefault="00EB0444" w:rsidP="00445E2A">
      <w:pPr>
        <w:pStyle w:val="Default"/>
        <w:rPr>
          <w:b/>
        </w:rPr>
      </w:pPr>
    </w:p>
    <w:p w:rsidR="00257ED7" w:rsidRDefault="00257ED7" w:rsidP="00257ED7">
      <w:pPr>
        <w:pStyle w:val="Default"/>
        <w:rPr>
          <w:b/>
        </w:rPr>
      </w:pPr>
      <w:r w:rsidRPr="00AE508E">
        <w:rPr>
          <w:b/>
        </w:rPr>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 (</w:t>
      </w:r>
      <w:hyperlink r:id="rId12" w:history="1">
        <w:r w:rsidR="00B177FB" w:rsidRPr="009509CE">
          <w:rPr>
            <w:rStyle w:val="Hyperlink"/>
          </w:rPr>
          <w:t>http://www.albion.edu/campussafety</w:t>
        </w:r>
      </w:hyperlink>
      <w:r w:rsidR="00B177FB">
        <w:t xml:space="preserve"> ).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r w:rsidR="001F34D0">
        <w:t>20</w:t>
      </w:r>
      <w:r w:rsidR="00622662">
        <w:t>1</w:t>
      </w:r>
      <w:r w:rsidR="00D92364">
        <w:t>3:</w:t>
      </w:r>
      <w:r w:rsidR="00B177FB">
        <w:t xml:space="preserve"> </w:t>
      </w:r>
    </w:p>
    <w:p w:rsidR="00B96E34" w:rsidRDefault="00B96E34" w:rsidP="00257ED7">
      <w:pPr>
        <w:pStyle w:val="Default"/>
      </w:pPr>
    </w:p>
    <w:p w:rsidR="007A5F45" w:rsidRDefault="002F034F" w:rsidP="00257ED7">
      <w:pPr>
        <w:pStyle w:val="Default"/>
      </w:pPr>
      <w:r>
        <w:lastRenderedPageBreak/>
        <w:t>02/</w:t>
      </w:r>
      <w:r w:rsidR="00431677">
        <w:t>13</w:t>
      </w:r>
      <w:r>
        <w:t>/201</w:t>
      </w:r>
      <w:r w:rsidR="00431677">
        <w:t>3</w:t>
      </w:r>
      <w:r>
        <w:t>, 6:20 P.M.</w:t>
      </w:r>
    </w:p>
    <w:p w:rsidR="002F034F" w:rsidRDefault="002F034F" w:rsidP="00257ED7">
      <w:pPr>
        <w:pStyle w:val="Default"/>
      </w:pPr>
    </w:p>
    <w:p w:rsidR="00BD4178" w:rsidRDefault="00431677" w:rsidP="00445E2A">
      <w:pPr>
        <w:pStyle w:val="Default"/>
      </w:pPr>
      <w:r>
        <w:t>Trash Fire</w:t>
      </w:r>
      <w:r w:rsidR="002F034F">
        <w:t xml:space="preserve">:  A </w:t>
      </w:r>
      <w:r>
        <w:t>small trash</w:t>
      </w:r>
      <w:r w:rsidR="002F034F">
        <w:t xml:space="preserve"> fire was </w:t>
      </w:r>
      <w:r>
        <w:t>discovered by Campus Safety Officers outside the Albion College Nature Center Building. Fire was extinguished by Campus Safety Officers.</w:t>
      </w: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7F7EAD" w:rsidP="00622662">
            <w:pPr>
              <w:rPr>
                <w:b/>
                <w:sz w:val="16"/>
                <w:szCs w:val="16"/>
              </w:rPr>
            </w:pPr>
            <w:r>
              <w:rPr>
                <w:b/>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40D72"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Pr>
                <w:b/>
                <w:sz w:val="16"/>
                <w:szCs w:val="16"/>
              </w:rPr>
              <w:t>20</w:t>
            </w:r>
            <w:r w:rsidR="00BD4178">
              <w:rPr>
                <w:b/>
                <w:sz w:val="16"/>
                <w:szCs w:val="16"/>
              </w:rPr>
              <w:t>1</w:t>
            </w:r>
            <w:r w:rsidR="00B06FC0">
              <w:rPr>
                <w:b/>
                <w:sz w:val="16"/>
                <w:szCs w:val="16"/>
              </w:rPr>
              <w:t>3</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B777AC" w:rsidP="00622662">
            <w:pPr>
              <w:jc w:val="center"/>
              <w:rPr>
                <w:b/>
                <w:sz w:val="16"/>
                <w:szCs w:val="16"/>
              </w:rPr>
            </w:pPr>
            <w:r>
              <w:rPr>
                <w:b/>
                <w:sz w:val="16"/>
                <w:szCs w:val="16"/>
              </w:rPr>
              <w:t>Mandatory Fire Drills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Mae Karro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Munger Apts.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622662">
            <w:pPr>
              <w:rPr>
                <w:b/>
                <w:sz w:val="16"/>
                <w:szCs w:val="16"/>
                <w:u w:val="single"/>
              </w:rPr>
            </w:pPr>
            <w:r w:rsidRPr="00275869">
              <w:rPr>
                <w:sz w:val="16"/>
                <w:szCs w:val="16"/>
              </w:rPr>
              <w:t>416 E. Cass St. (E-House)</w:t>
            </w:r>
            <w:r w:rsidR="00B06FC0">
              <w:rPr>
                <w:sz w:val="16"/>
                <w:szCs w:val="16"/>
              </w:rPr>
              <w:t xml:space="preserve"> (Off line in 2013)</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254"/>
        </w:trPr>
        <w:tc>
          <w:tcPr>
            <w:tcW w:w="1908" w:type="dxa"/>
            <w:shd w:val="clear" w:color="auto" w:fill="auto"/>
          </w:tcPr>
          <w:p w:rsidR="00B777AC" w:rsidRPr="00275869" w:rsidRDefault="00B777AC" w:rsidP="00D92364">
            <w:pPr>
              <w:rPr>
                <w:sz w:val="16"/>
                <w:szCs w:val="16"/>
              </w:rPr>
            </w:pPr>
            <w:r w:rsidRPr="00275869">
              <w:rPr>
                <w:sz w:val="16"/>
                <w:szCs w:val="16"/>
              </w:rPr>
              <w:t xml:space="preserve"> 501 Michigan Ave. </w:t>
            </w:r>
            <w:r w:rsidR="00B06FC0">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B06FC0">
        <w:trPr>
          <w:trHeight w:val="530"/>
        </w:trPr>
        <w:tc>
          <w:tcPr>
            <w:tcW w:w="1908" w:type="dxa"/>
            <w:shd w:val="clear" w:color="auto" w:fill="auto"/>
          </w:tcPr>
          <w:p w:rsidR="00B777AC" w:rsidRPr="00275869" w:rsidRDefault="00B777AC" w:rsidP="00622662">
            <w:pPr>
              <w:rPr>
                <w:sz w:val="16"/>
                <w:szCs w:val="16"/>
              </w:rPr>
            </w:pPr>
            <w:r w:rsidRPr="00275869">
              <w:rPr>
                <w:sz w:val="16"/>
                <w:szCs w:val="16"/>
              </w:rPr>
              <w:t xml:space="preserve">711 Michigan Ave. </w:t>
            </w:r>
            <w:r w:rsidR="00B06FC0">
              <w:rPr>
                <w:sz w:val="16"/>
                <w:szCs w:val="16"/>
              </w:rPr>
              <w:t xml:space="preserve">      (Off line in 2013)</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622662">
            <w:pPr>
              <w:rPr>
                <w:sz w:val="16"/>
                <w:szCs w:val="16"/>
              </w:rPr>
            </w:pPr>
            <w:r w:rsidRPr="00275869">
              <w:rPr>
                <w:sz w:val="16"/>
                <w:szCs w:val="16"/>
              </w:rPr>
              <w:t>Ingham House</w:t>
            </w:r>
          </w:p>
        </w:tc>
        <w:tc>
          <w:tcPr>
            <w:tcW w:w="1080" w:type="dxa"/>
            <w:shd w:val="clear" w:color="auto" w:fill="auto"/>
          </w:tcPr>
          <w:p w:rsidR="00B777AC" w:rsidRPr="00E51E4B" w:rsidRDefault="00B06FC0"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622662">
            <w:pPr>
              <w:rPr>
                <w:sz w:val="16"/>
                <w:szCs w:val="16"/>
              </w:rPr>
            </w:pPr>
            <w:r w:rsidRPr="00275869">
              <w:rPr>
                <w:sz w:val="16"/>
                <w:szCs w:val="16"/>
              </w:rPr>
              <w:t>Munger Annex</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622662">
            <w:pPr>
              <w:rPr>
                <w:sz w:val="16"/>
                <w:szCs w:val="16"/>
              </w:rPr>
            </w:pPr>
            <w:r w:rsidRPr="00275869">
              <w:rPr>
                <w:sz w:val="16"/>
                <w:szCs w:val="16"/>
              </w:rPr>
              <w:t>Sigma Chi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tbl>
      <w:tblPr>
        <w:tblpPr w:leftFromText="180" w:rightFromText="180" w:vertAnchor="text" w:horzAnchor="margin" w:tblpY="37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90"/>
        <w:gridCol w:w="1008"/>
        <w:gridCol w:w="1170"/>
        <w:gridCol w:w="1080"/>
        <w:gridCol w:w="900"/>
        <w:gridCol w:w="720"/>
        <w:gridCol w:w="720"/>
        <w:gridCol w:w="630"/>
        <w:gridCol w:w="630"/>
        <w:gridCol w:w="810"/>
        <w:gridCol w:w="720"/>
        <w:gridCol w:w="1080"/>
      </w:tblGrid>
      <w:tr w:rsidR="00D92364" w:rsidRPr="00641EC8" w:rsidTr="00D92364">
        <w:trPr>
          <w:trHeight w:val="707"/>
        </w:trPr>
        <w:tc>
          <w:tcPr>
            <w:tcW w:w="1890" w:type="dxa"/>
            <w:shd w:val="clear" w:color="auto" w:fill="BFBFBF" w:themeFill="background1" w:themeFillShade="BF"/>
          </w:tcPr>
          <w:p w:rsidR="00D92364" w:rsidRPr="00641EC8" w:rsidRDefault="00D92364" w:rsidP="00D92364">
            <w:pPr>
              <w:rPr>
                <w:b/>
                <w:sz w:val="16"/>
                <w:szCs w:val="16"/>
              </w:rPr>
            </w:pPr>
            <w:r>
              <w:rPr>
                <w:b/>
                <w:sz w:val="16"/>
                <w:szCs w:val="16"/>
              </w:rPr>
              <w:lastRenderedPageBreak/>
              <w:t xml:space="preserve">2013 </w:t>
            </w:r>
            <w:r w:rsidRPr="00641EC8">
              <w:rPr>
                <w:b/>
                <w:sz w:val="16"/>
                <w:szCs w:val="16"/>
              </w:rPr>
              <w:t>C</w:t>
            </w:r>
            <w:r>
              <w:rPr>
                <w:b/>
                <w:sz w:val="16"/>
                <w:szCs w:val="16"/>
              </w:rPr>
              <w:t>AMPUS HOUSING FIRE STATISTICS REPORT</w:t>
            </w:r>
            <w:r w:rsidRPr="00641EC8">
              <w:rPr>
                <w:b/>
                <w:sz w:val="16"/>
                <w:szCs w:val="16"/>
              </w:rPr>
              <w:t xml:space="preserve"> </w:t>
            </w:r>
            <w:r w:rsidRPr="00641EC8">
              <w:rPr>
                <w:b/>
                <w:sz w:val="16"/>
                <w:szCs w:val="16"/>
                <w:u w:val="single"/>
              </w:rPr>
              <w:t>Residential Buildings</w:t>
            </w:r>
          </w:p>
        </w:tc>
        <w:tc>
          <w:tcPr>
            <w:tcW w:w="1008" w:type="dxa"/>
            <w:shd w:val="clear" w:color="auto" w:fill="BFBFBF" w:themeFill="background1" w:themeFillShade="BF"/>
          </w:tcPr>
          <w:p w:rsidR="00D92364" w:rsidRPr="00641EC8" w:rsidRDefault="00D92364" w:rsidP="00D92364">
            <w:pPr>
              <w:jc w:val="center"/>
              <w:rPr>
                <w:b/>
                <w:sz w:val="16"/>
                <w:szCs w:val="16"/>
              </w:rPr>
            </w:pPr>
            <w:r w:rsidRPr="00641EC8">
              <w:rPr>
                <w:b/>
                <w:sz w:val="16"/>
                <w:szCs w:val="16"/>
              </w:rPr>
              <w:t>Intentional    (Arson)</w:t>
            </w:r>
          </w:p>
        </w:tc>
        <w:tc>
          <w:tcPr>
            <w:tcW w:w="1170" w:type="dxa"/>
            <w:shd w:val="clear" w:color="auto" w:fill="BFBFBF" w:themeFill="background1" w:themeFillShade="BF"/>
          </w:tcPr>
          <w:p w:rsidR="00D92364" w:rsidRPr="00641EC8" w:rsidRDefault="00D92364" w:rsidP="00D92364">
            <w:pPr>
              <w:rPr>
                <w:b/>
                <w:sz w:val="16"/>
                <w:szCs w:val="16"/>
              </w:rPr>
            </w:pPr>
            <w:r w:rsidRPr="00641EC8">
              <w:rPr>
                <w:b/>
                <w:sz w:val="16"/>
                <w:szCs w:val="16"/>
              </w:rPr>
              <w:t>Unintentional</w:t>
            </w:r>
          </w:p>
        </w:tc>
        <w:tc>
          <w:tcPr>
            <w:tcW w:w="1080" w:type="dxa"/>
            <w:shd w:val="clear" w:color="auto" w:fill="BFBFBF" w:themeFill="background1" w:themeFillShade="BF"/>
          </w:tcPr>
          <w:p w:rsidR="00D92364" w:rsidRPr="00641EC8" w:rsidRDefault="00D92364" w:rsidP="00D92364">
            <w:pPr>
              <w:rPr>
                <w:b/>
                <w:sz w:val="16"/>
                <w:szCs w:val="16"/>
              </w:rPr>
            </w:pPr>
            <w:r w:rsidRPr="00641EC8">
              <w:rPr>
                <w:b/>
                <w:sz w:val="16"/>
                <w:szCs w:val="16"/>
              </w:rPr>
              <w:t>Mechanical</w:t>
            </w:r>
          </w:p>
        </w:tc>
        <w:tc>
          <w:tcPr>
            <w:tcW w:w="900" w:type="dxa"/>
            <w:shd w:val="clear" w:color="auto" w:fill="BFBFBF" w:themeFill="background1" w:themeFillShade="BF"/>
          </w:tcPr>
          <w:p w:rsidR="00D92364" w:rsidRPr="00641EC8" w:rsidRDefault="00D92364" w:rsidP="00D92364">
            <w:pPr>
              <w:rPr>
                <w:b/>
                <w:sz w:val="16"/>
                <w:szCs w:val="16"/>
              </w:rPr>
            </w:pPr>
            <w:r w:rsidRPr="00641EC8">
              <w:rPr>
                <w:b/>
                <w:sz w:val="16"/>
                <w:szCs w:val="16"/>
              </w:rPr>
              <w:t>Electrical</w:t>
            </w:r>
          </w:p>
        </w:tc>
        <w:tc>
          <w:tcPr>
            <w:tcW w:w="720" w:type="dxa"/>
            <w:shd w:val="clear" w:color="auto" w:fill="BFBFBF" w:themeFill="background1" w:themeFillShade="BF"/>
          </w:tcPr>
          <w:p w:rsidR="00D92364" w:rsidRPr="00641EC8" w:rsidRDefault="00D92364" w:rsidP="00D92364">
            <w:pPr>
              <w:rPr>
                <w:b/>
                <w:sz w:val="16"/>
                <w:szCs w:val="16"/>
              </w:rPr>
            </w:pPr>
            <w:r w:rsidRPr="00641EC8">
              <w:rPr>
                <w:b/>
                <w:sz w:val="16"/>
                <w:szCs w:val="16"/>
              </w:rPr>
              <w:t>Act of Nature</w:t>
            </w:r>
          </w:p>
        </w:tc>
        <w:tc>
          <w:tcPr>
            <w:tcW w:w="720" w:type="dxa"/>
            <w:shd w:val="clear" w:color="auto" w:fill="BFBFBF" w:themeFill="background1" w:themeFillShade="BF"/>
          </w:tcPr>
          <w:p w:rsidR="00D92364" w:rsidRPr="00641EC8" w:rsidRDefault="00D92364" w:rsidP="00D92364">
            <w:pPr>
              <w:rPr>
                <w:b/>
                <w:sz w:val="16"/>
                <w:szCs w:val="16"/>
              </w:rPr>
            </w:pPr>
            <w:r w:rsidRPr="00641EC8">
              <w:rPr>
                <w:b/>
                <w:sz w:val="16"/>
                <w:szCs w:val="16"/>
              </w:rPr>
              <w:t>Smoke Invest.</w:t>
            </w:r>
          </w:p>
        </w:tc>
        <w:tc>
          <w:tcPr>
            <w:tcW w:w="630" w:type="dxa"/>
            <w:shd w:val="clear" w:color="auto" w:fill="BFBFBF" w:themeFill="background1" w:themeFillShade="BF"/>
          </w:tcPr>
          <w:p w:rsidR="00D92364" w:rsidRPr="00641EC8" w:rsidRDefault="00D92364" w:rsidP="00D92364">
            <w:pPr>
              <w:rPr>
                <w:b/>
                <w:sz w:val="16"/>
                <w:szCs w:val="16"/>
              </w:rPr>
            </w:pPr>
            <w:r w:rsidRPr="00641EC8">
              <w:rPr>
                <w:b/>
                <w:sz w:val="16"/>
                <w:szCs w:val="16"/>
              </w:rPr>
              <w:t>Other</w:t>
            </w:r>
          </w:p>
        </w:tc>
        <w:tc>
          <w:tcPr>
            <w:tcW w:w="630" w:type="dxa"/>
            <w:shd w:val="clear" w:color="auto" w:fill="BFBFBF" w:themeFill="background1" w:themeFillShade="BF"/>
          </w:tcPr>
          <w:p w:rsidR="00D92364" w:rsidRPr="00641EC8" w:rsidRDefault="00D92364" w:rsidP="00D92364">
            <w:pPr>
              <w:jc w:val="center"/>
              <w:rPr>
                <w:b/>
                <w:sz w:val="16"/>
                <w:szCs w:val="16"/>
              </w:rPr>
            </w:pPr>
            <w:r w:rsidRPr="00641EC8">
              <w:rPr>
                <w:b/>
                <w:sz w:val="16"/>
                <w:szCs w:val="16"/>
              </w:rPr>
              <w:t>Fire Drills</w:t>
            </w:r>
          </w:p>
        </w:tc>
        <w:tc>
          <w:tcPr>
            <w:tcW w:w="810" w:type="dxa"/>
            <w:shd w:val="clear" w:color="auto" w:fill="BFBFBF" w:themeFill="background1" w:themeFillShade="BF"/>
          </w:tcPr>
          <w:p w:rsidR="00D92364" w:rsidRPr="00641EC8" w:rsidRDefault="00D92364" w:rsidP="00D92364">
            <w:pPr>
              <w:jc w:val="center"/>
              <w:rPr>
                <w:b/>
                <w:sz w:val="16"/>
                <w:szCs w:val="16"/>
              </w:rPr>
            </w:pPr>
            <w:r w:rsidRPr="00641EC8">
              <w:rPr>
                <w:b/>
                <w:sz w:val="16"/>
                <w:szCs w:val="16"/>
              </w:rPr>
              <w:t>Treated Injuries</w:t>
            </w:r>
          </w:p>
        </w:tc>
        <w:tc>
          <w:tcPr>
            <w:tcW w:w="720" w:type="dxa"/>
            <w:shd w:val="clear" w:color="auto" w:fill="BFBFBF" w:themeFill="background1" w:themeFillShade="BF"/>
          </w:tcPr>
          <w:p w:rsidR="00D92364" w:rsidRPr="00641EC8" w:rsidRDefault="00D92364" w:rsidP="00D92364">
            <w:pPr>
              <w:rPr>
                <w:b/>
                <w:sz w:val="16"/>
                <w:szCs w:val="16"/>
              </w:rPr>
            </w:pPr>
            <w:r w:rsidRPr="00641EC8">
              <w:rPr>
                <w:b/>
                <w:sz w:val="16"/>
                <w:szCs w:val="16"/>
              </w:rPr>
              <w:t>Deaths</w:t>
            </w:r>
          </w:p>
        </w:tc>
        <w:tc>
          <w:tcPr>
            <w:tcW w:w="1080" w:type="dxa"/>
            <w:shd w:val="clear" w:color="auto" w:fill="BFBFBF" w:themeFill="background1" w:themeFillShade="BF"/>
          </w:tcPr>
          <w:p w:rsidR="00D92364" w:rsidRPr="00641EC8" w:rsidRDefault="00D92364" w:rsidP="00D92364">
            <w:pPr>
              <w:jc w:val="center"/>
              <w:rPr>
                <w:b/>
                <w:sz w:val="16"/>
                <w:szCs w:val="16"/>
              </w:rPr>
            </w:pPr>
            <w:r w:rsidRPr="00641EC8">
              <w:rPr>
                <w:b/>
                <w:sz w:val="16"/>
                <w:szCs w:val="16"/>
              </w:rPr>
              <w:t>Property Damaged ($)</w:t>
            </w:r>
          </w:p>
        </w:tc>
      </w:tr>
      <w:tr w:rsidR="00D92364" w:rsidRPr="00641EC8" w:rsidTr="00D92364">
        <w:trPr>
          <w:trHeight w:val="275"/>
        </w:trPr>
        <w:tc>
          <w:tcPr>
            <w:tcW w:w="1890" w:type="dxa"/>
          </w:tcPr>
          <w:p w:rsidR="00D92364" w:rsidRPr="00641EC8" w:rsidRDefault="00D92364" w:rsidP="00D92364">
            <w:pPr>
              <w:rPr>
                <w:b/>
                <w:sz w:val="16"/>
                <w:szCs w:val="16"/>
                <w:u w:val="single"/>
              </w:rPr>
            </w:pPr>
            <w:r w:rsidRPr="00641EC8">
              <w:rPr>
                <w:sz w:val="16"/>
                <w:szCs w:val="16"/>
              </w:rPr>
              <w:t>Briton House Apts.</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293"/>
        </w:trPr>
        <w:tc>
          <w:tcPr>
            <w:tcW w:w="1890" w:type="dxa"/>
          </w:tcPr>
          <w:p w:rsidR="00D92364" w:rsidRPr="00641EC8" w:rsidRDefault="00D92364" w:rsidP="00D92364">
            <w:pPr>
              <w:rPr>
                <w:sz w:val="16"/>
                <w:szCs w:val="16"/>
              </w:rPr>
            </w:pPr>
            <w:r w:rsidRPr="00641EC8">
              <w:rPr>
                <w:sz w:val="16"/>
                <w:szCs w:val="16"/>
              </w:rPr>
              <w:t>Burns St. Apts.</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35"/>
        </w:trPr>
        <w:tc>
          <w:tcPr>
            <w:tcW w:w="1890" w:type="dxa"/>
          </w:tcPr>
          <w:p w:rsidR="00D92364" w:rsidRPr="00641EC8" w:rsidRDefault="00D92364" w:rsidP="00D92364">
            <w:pPr>
              <w:rPr>
                <w:sz w:val="16"/>
                <w:szCs w:val="16"/>
              </w:rPr>
            </w:pPr>
            <w:r w:rsidRPr="00641EC8">
              <w:rPr>
                <w:sz w:val="16"/>
                <w:szCs w:val="16"/>
              </w:rPr>
              <w:t>Mae Karro</w:t>
            </w:r>
            <w:r>
              <w:rPr>
                <w:sz w:val="16"/>
                <w:szCs w:val="16"/>
              </w:rPr>
              <w:t xml:space="preserve"> Village</w:t>
            </w:r>
            <w:r w:rsidRPr="00641EC8">
              <w:rPr>
                <w:sz w:val="16"/>
                <w:szCs w:val="16"/>
              </w:rPr>
              <w:t xml:space="preserve"> </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20"/>
        </w:trPr>
        <w:tc>
          <w:tcPr>
            <w:tcW w:w="1890" w:type="dxa"/>
          </w:tcPr>
          <w:p w:rsidR="00D92364" w:rsidRPr="00641EC8" w:rsidRDefault="00D92364" w:rsidP="00D92364">
            <w:pPr>
              <w:rPr>
                <w:sz w:val="16"/>
                <w:szCs w:val="16"/>
              </w:rPr>
            </w:pPr>
            <w:r w:rsidRPr="00641EC8">
              <w:rPr>
                <w:sz w:val="16"/>
                <w:szCs w:val="16"/>
              </w:rPr>
              <w:t>Mitchell Towers</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435"/>
        </w:trPr>
        <w:tc>
          <w:tcPr>
            <w:tcW w:w="1890" w:type="dxa"/>
          </w:tcPr>
          <w:p w:rsidR="00D92364" w:rsidRPr="00641EC8" w:rsidRDefault="00D92364" w:rsidP="00D92364">
            <w:pPr>
              <w:rPr>
                <w:sz w:val="16"/>
                <w:szCs w:val="16"/>
              </w:rPr>
            </w:pPr>
            <w:r w:rsidRPr="00641EC8">
              <w:rPr>
                <w:sz w:val="16"/>
                <w:szCs w:val="16"/>
              </w:rPr>
              <w:t>Munger Apts.</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20"/>
        </w:trPr>
        <w:tc>
          <w:tcPr>
            <w:tcW w:w="1890" w:type="dxa"/>
          </w:tcPr>
          <w:p w:rsidR="00D92364" w:rsidRPr="00641EC8" w:rsidRDefault="00D92364" w:rsidP="00D92364">
            <w:pPr>
              <w:rPr>
                <w:sz w:val="16"/>
                <w:szCs w:val="16"/>
              </w:rPr>
            </w:pPr>
            <w:r w:rsidRPr="00641EC8">
              <w:rPr>
                <w:sz w:val="16"/>
                <w:szCs w:val="16"/>
              </w:rPr>
              <w:t>Seaton Hall</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360"/>
        </w:trPr>
        <w:tc>
          <w:tcPr>
            <w:tcW w:w="1890" w:type="dxa"/>
          </w:tcPr>
          <w:p w:rsidR="00D92364" w:rsidRPr="00641EC8" w:rsidRDefault="00D92364" w:rsidP="00D92364">
            <w:pPr>
              <w:rPr>
                <w:sz w:val="16"/>
                <w:szCs w:val="16"/>
              </w:rPr>
            </w:pPr>
            <w:r w:rsidRPr="00641EC8">
              <w:rPr>
                <w:sz w:val="16"/>
                <w:szCs w:val="16"/>
              </w:rPr>
              <w:t>Wesley Hall</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300"/>
        </w:trPr>
        <w:tc>
          <w:tcPr>
            <w:tcW w:w="1890" w:type="dxa"/>
          </w:tcPr>
          <w:p w:rsidR="00D92364" w:rsidRPr="00641EC8" w:rsidRDefault="00D92364" w:rsidP="00D92364">
            <w:pPr>
              <w:rPr>
                <w:sz w:val="16"/>
                <w:szCs w:val="16"/>
              </w:rPr>
            </w:pPr>
            <w:r w:rsidRPr="00641EC8">
              <w:rPr>
                <w:sz w:val="16"/>
                <w:szCs w:val="16"/>
              </w:rPr>
              <w:t>Whitehouse Hall</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392"/>
        </w:trPr>
        <w:tc>
          <w:tcPr>
            <w:tcW w:w="1890" w:type="dxa"/>
          </w:tcPr>
          <w:p w:rsidR="00D92364" w:rsidRDefault="00D92364" w:rsidP="00D92364">
            <w:pPr>
              <w:spacing w:line="240" w:lineRule="auto"/>
              <w:rPr>
                <w:sz w:val="16"/>
                <w:szCs w:val="16"/>
              </w:rPr>
            </w:pPr>
            <w:r w:rsidRPr="00641EC8">
              <w:rPr>
                <w:sz w:val="16"/>
                <w:szCs w:val="16"/>
              </w:rPr>
              <w:t>416 E. Cass St. (E-House)</w:t>
            </w:r>
          </w:p>
          <w:p w:rsidR="00D92364" w:rsidRPr="00641EC8" w:rsidRDefault="00D92364" w:rsidP="00D92364">
            <w:pPr>
              <w:spacing w:line="240" w:lineRule="auto"/>
              <w:rPr>
                <w:b/>
                <w:sz w:val="16"/>
                <w:szCs w:val="16"/>
                <w:u w:val="single"/>
              </w:rPr>
            </w:pPr>
            <w:r>
              <w:rPr>
                <w:sz w:val="16"/>
                <w:szCs w:val="16"/>
              </w:rPr>
              <w:t>(offline in 2013)</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0</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10"/>
        </w:trPr>
        <w:tc>
          <w:tcPr>
            <w:tcW w:w="1890" w:type="dxa"/>
          </w:tcPr>
          <w:p w:rsidR="00D92364" w:rsidRPr="00641EC8" w:rsidRDefault="00D92364" w:rsidP="00D92364">
            <w:pPr>
              <w:rPr>
                <w:sz w:val="16"/>
                <w:szCs w:val="16"/>
              </w:rPr>
            </w:pPr>
            <w:r w:rsidRPr="00641EC8">
              <w:rPr>
                <w:sz w:val="16"/>
                <w:szCs w:val="16"/>
              </w:rPr>
              <w:t>416 E. Erie St. (Octagon)</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230"/>
        </w:trPr>
        <w:tc>
          <w:tcPr>
            <w:tcW w:w="1890" w:type="dxa"/>
          </w:tcPr>
          <w:p w:rsidR="00D92364" w:rsidRPr="00641EC8" w:rsidRDefault="00D92364" w:rsidP="00D92364">
            <w:pPr>
              <w:rPr>
                <w:sz w:val="16"/>
                <w:szCs w:val="16"/>
              </w:rPr>
            </w:pPr>
            <w:r w:rsidRPr="00641EC8">
              <w:rPr>
                <w:sz w:val="16"/>
                <w:szCs w:val="16"/>
              </w:rPr>
              <w:t xml:space="preserve"> 501 Michigan Ave.</w:t>
            </w:r>
            <w:r>
              <w:rPr>
                <w:sz w:val="16"/>
                <w:szCs w:val="16"/>
              </w:rPr>
              <w:t xml:space="preserve"> </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0</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465"/>
        </w:trPr>
        <w:tc>
          <w:tcPr>
            <w:tcW w:w="1890" w:type="dxa"/>
          </w:tcPr>
          <w:p w:rsidR="00D92364" w:rsidRPr="00641EC8" w:rsidRDefault="00D92364" w:rsidP="00D92364">
            <w:pPr>
              <w:rPr>
                <w:sz w:val="16"/>
                <w:szCs w:val="16"/>
              </w:rPr>
            </w:pPr>
            <w:r w:rsidRPr="00641EC8">
              <w:rPr>
                <w:sz w:val="16"/>
                <w:szCs w:val="16"/>
              </w:rPr>
              <w:t xml:space="preserve">507 E. Erie St. </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390"/>
        </w:trPr>
        <w:tc>
          <w:tcPr>
            <w:tcW w:w="1890" w:type="dxa"/>
          </w:tcPr>
          <w:p w:rsidR="00D92364" w:rsidRDefault="00D92364" w:rsidP="00D92364">
            <w:pPr>
              <w:rPr>
                <w:sz w:val="16"/>
                <w:szCs w:val="16"/>
              </w:rPr>
            </w:pPr>
            <w:r w:rsidRPr="00641EC8">
              <w:rPr>
                <w:sz w:val="16"/>
                <w:szCs w:val="16"/>
              </w:rPr>
              <w:t xml:space="preserve">711 Michigan Ave. </w:t>
            </w:r>
          </w:p>
          <w:p w:rsidR="00D92364" w:rsidRPr="00641EC8" w:rsidRDefault="00D92364" w:rsidP="00D92364">
            <w:pPr>
              <w:rPr>
                <w:sz w:val="16"/>
                <w:szCs w:val="16"/>
              </w:rPr>
            </w:pPr>
            <w:r>
              <w:rPr>
                <w:sz w:val="16"/>
                <w:szCs w:val="16"/>
              </w:rPr>
              <w:t xml:space="preserve"> (off line in 2013)</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0</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20"/>
        </w:trPr>
        <w:tc>
          <w:tcPr>
            <w:tcW w:w="1890" w:type="dxa"/>
          </w:tcPr>
          <w:p w:rsidR="00D92364" w:rsidRPr="00641EC8" w:rsidRDefault="00D92364" w:rsidP="00D92364">
            <w:pPr>
              <w:rPr>
                <w:sz w:val="16"/>
                <w:szCs w:val="16"/>
              </w:rPr>
            </w:pPr>
            <w:r w:rsidRPr="00641EC8">
              <w:rPr>
                <w:sz w:val="16"/>
                <w:szCs w:val="16"/>
              </w:rPr>
              <w:t xml:space="preserve">1000 Porter St. </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435"/>
        </w:trPr>
        <w:tc>
          <w:tcPr>
            <w:tcW w:w="1890" w:type="dxa"/>
          </w:tcPr>
          <w:p w:rsidR="00D92364" w:rsidRPr="00641EC8" w:rsidRDefault="00D92364" w:rsidP="00D92364">
            <w:pPr>
              <w:rPr>
                <w:sz w:val="16"/>
                <w:szCs w:val="16"/>
              </w:rPr>
            </w:pPr>
            <w:r w:rsidRPr="00641EC8">
              <w:rPr>
                <w:sz w:val="16"/>
                <w:szCs w:val="16"/>
              </w:rPr>
              <w:t>1112 E. Porter St.</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15"/>
        </w:trPr>
        <w:tc>
          <w:tcPr>
            <w:tcW w:w="1890" w:type="dxa"/>
          </w:tcPr>
          <w:p w:rsidR="00D92364" w:rsidRPr="00641EC8" w:rsidRDefault="00D92364" w:rsidP="00D92364">
            <w:pPr>
              <w:rPr>
                <w:sz w:val="16"/>
                <w:szCs w:val="16"/>
              </w:rPr>
            </w:pPr>
            <w:r w:rsidRPr="00641EC8">
              <w:rPr>
                <w:sz w:val="16"/>
                <w:szCs w:val="16"/>
              </w:rPr>
              <w:t>Dean Hall</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71"/>
        </w:trPr>
        <w:tc>
          <w:tcPr>
            <w:tcW w:w="1890" w:type="dxa"/>
          </w:tcPr>
          <w:p w:rsidR="00D92364" w:rsidRPr="00641EC8" w:rsidRDefault="00D92364" w:rsidP="00D92364">
            <w:pPr>
              <w:rPr>
                <w:sz w:val="16"/>
                <w:szCs w:val="16"/>
              </w:rPr>
            </w:pPr>
            <w:r w:rsidRPr="00641EC8">
              <w:rPr>
                <w:sz w:val="16"/>
                <w:szCs w:val="16"/>
              </w:rPr>
              <w:t>Fiske House</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21"/>
        </w:trPr>
        <w:tc>
          <w:tcPr>
            <w:tcW w:w="1890" w:type="dxa"/>
          </w:tcPr>
          <w:p w:rsidR="00D92364" w:rsidRPr="00641EC8" w:rsidRDefault="00D92364" w:rsidP="00D92364">
            <w:pPr>
              <w:rPr>
                <w:sz w:val="16"/>
                <w:szCs w:val="16"/>
              </w:rPr>
            </w:pPr>
            <w:r w:rsidRPr="00641EC8">
              <w:rPr>
                <w:sz w:val="16"/>
                <w:szCs w:val="16"/>
              </w:rPr>
              <w:t>Ingham H</w:t>
            </w:r>
            <w:r>
              <w:rPr>
                <w:sz w:val="16"/>
                <w:szCs w:val="16"/>
              </w:rPr>
              <w:t>all</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01"/>
        </w:trPr>
        <w:tc>
          <w:tcPr>
            <w:tcW w:w="1890" w:type="dxa"/>
          </w:tcPr>
          <w:p w:rsidR="00D92364" w:rsidRPr="00641EC8" w:rsidRDefault="00D92364" w:rsidP="00D92364">
            <w:pPr>
              <w:rPr>
                <w:sz w:val="16"/>
                <w:szCs w:val="16"/>
              </w:rPr>
            </w:pPr>
            <w:r w:rsidRPr="00641EC8">
              <w:rPr>
                <w:sz w:val="16"/>
                <w:szCs w:val="16"/>
              </w:rPr>
              <w:t>Munger Annex</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290"/>
        </w:trPr>
        <w:tc>
          <w:tcPr>
            <w:tcW w:w="1890" w:type="dxa"/>
            <w:shd w:val="clear" w:color="auto" w:fill="BFBFBF" w:themeFill="background1" w:themeFillShade="BF"/>
          </w:tcPr>
          <w:p w:rsidR="00D92364" w:rsidRPr="00641EC8" w:rsidRDefault="00D92364" w:rsidP="00D92364">
            <w:pPr>
              <w:rPr>
                <w:sz w:val="16"/>
                <w:szCs w:val="16"/>
              </w:rPr>
            </w:pPr>
            <w:r w:rsidRPr="00641EC8">
              <w:rPr>
                <w:b/>
                <w:sz w:val="16"/>
                <w:szCs w:val="16"/>
                <w:u w:val="single"/>
              </w:rPr>
              <w:t>Fraternities:</w:t>
            </w:r>
          </w:p>
        </w:tc>
        <w:tc>
          <w:tcPr>
            <w:tcW w:w="1008" w:type="dxa"/>
            <w:shd w:val="clear" w:color="auto" w:fill="BFBFBF" w:themeFill="background1" w:themeFillShade="BF"/>
          </w:tcPr>
          <w:p w:rsidR="00D92364" w:rsidRPr="00641EC8" w:rsidRDefault="00D92364" w:rsidP="00D92364">
            <w:pPr>
              <w:jc w:val="center"/>
              <w:rPr>
                <w:b/>
                <w:sz w:val="16"/>
                <w:szCs w:val="16"/>
              </w:rPr>
            </w:pPr>
          </w:p>
        </w:tc>
        <w:tc>
          <w:tcPr>
            <w:tcW w:w="1170" w:type="dxa"/>
            <w:shd w:val="clear" w:color="auto" w:fill="BFBFBF" w:themeFill="background1" w:themeFillShade="BF"/>
          </w:tcPr>
          <w:p w:rsidR="00D92364" w:rsidRPr="00641EC8" w:rsidRDefault="00D92364" w:rsidP="00D92364">
            <w:pPr>
              <w:jc w:val="center"/>
              <w:rPr>
                <w:b/>
                <w:sz w:val="16"/>
                <w:szCs w:val="16"/>
              </w:rPr>
            </w:pPr>
          </w:p>
        </w:tc>
        <w:tc>
          <w:tcPr>
            <w:tcW w:w="1080" w:type="dxa"/>
            <w:shd w:val="clear" w:color="auto" w:fill="BFBFBF" w:themeFill="background1" w:themeFillShade="BF"/>
          </w:tcPr>
          <w:p w:rsidR="00D92364" w:rsidRPr="00641EC8" w:rsidRDefault="00D92364" w:rsidP="00D92364">
            <w:pPr>
              <w:jc w:val="center"/>
              <w:rPr>
                <w:b/>
                <w:sz w:val="16"/>
                <w:szCs w:val="16"/>
              </w:rPr>
            </w:pPr>
          </w:p>
        </w:tc>
        <w:tc>
          <w:tcPr>
            <w:tcW w:w="900" w:type="dxa"/>
            <w:shd w:val="clear" w:color="auto" w:fill="BFBFBF" w:themeFill="background1" w:themeFillShade="BF"/>
          </w:tcPr>
          <w:p w:rsidR="00D92364" w:rsidRPr="00641EC8" w:rsidRDefault="00D92364" w:rsidP="00D92364">
            <w:pPr>
              <w:jc w:val="center"/>
              <w:rPr>
                <w:b/>
                <w:sz w:val="16"/>
                <w:szCs w:val="16"/>
              </w:rPr>
            </w:pPr>
          </w:p>
        </w:tc>
        <w:tc>
          <w:tcPr>
            <w:tcW w:w="720" w:type="dxa"/>
            <w:shd w:val="clear" w:color="auto" w:fill="BFBFBF" w:themeFill="background1" w:themeFillShade="BF"/>
          </w:tcPr>
          <w:p w:rsidR="00D92364" w:rsidRPr="00641EC8" w:rsidRDefault="00D92364" w:rsidP="00D92364">
            <w:pPr>
              <w:jc w:val="center"/>
              <w:rPr>
                <w:b/>
                <w:sz w:val="16"/>
                <w:szCs w:val="16"/>
              </w:rPr>
            </w:pPr>
          </w:p>
        </w:tc>
        <w:tc>
          <w:tcPr>
            <w:tcW w:w="720" w:type="dxa"/>
            <w:shd w:val="clear" w:color="auto" w:fill="BFBFBF" w:themeFill="background1" w:themeFillShade="BF"/>
          </w:tcPr>
          <w:p w:rsidR="00D92364" w:rsidRPr="00641EC8" w:rsidRDefault="00D92364" w:rsidP="00D92364">
            <w:pPr>
              <w:jc w:val="center"/>
              <w:rPr>
                <w:b/>
                <w:sz w:val="16"/>
                <w:szCs w:val="16"/>
              </w:rPr>
            </w:pPr>
          </w:p>
        </w:tc>
        <w:tc>
          <w:tcPr>
            <w:tcW w:w="630" w:type="dxa"/>
            <w:shd w:val="clear" w:color="auto" w:fill="BFBFBF" w:themeFill="background1" w:themeFillShade="BF"/>
          </w:tcPr>
          <w:p w:rsidR="00D92364" w:rsidRPr="00641EC8" w:rsidRDefault="00D92364" w:rsidP="00D92364">
            <w:pPr>
              <w:jc w:val="center"/>
              <w:rPr>
                <w:b/>
                <w:sz w:val="16"/>
                <w:szCs w:val="16"/>
              </w:rPr>
            </w:pPr>
          </w:p>
        </w:tc>
        <w:tc>
          <w:tcPr>
            <w:tcW w:w="630" w:type="dxa"/>
            <w:shd w:val="clear" w:color="auto" w:fill="BFBFBF" w:themeFill="background1" w:themeFillShade="BF"/>
          </w:tcPr>
          <w:p w:rsidR="00D92364" w:rsidRPr="00641EC8" w:rsidRDefault="00D92364" w:rsidP="00D92364">
            <w:pPr>
              <w:jc w:val="center"/>
              <w:rPr>
                <w:b/>
                <w:sz w:val="16"/>
                <w:szCs w:val="16"/>
              </w:rPr>
            </w:pPr>
          </w:p>
        </w:tc>
        <w:tc>
          <w:tcPr>
            <w:tcW w:w="810" w:type="dxa"/>
            <w:shd w:val="clear" w:color="auto" w:fill="BFBFBF" w:themeFill="background1" w:themeFillShade="BF"/>
          </w:tcPr>
          <w:p w:rsidR="00D92364" w:rsidRPr="00641EC8" w:rsidRDefault="00D92364" w:rsidP="00D92364">
            <w:pPr>
              <w:jc w:val="center"/>
              <w:rPr>
                <w:b/>
                <w:sz w:val="16"/>
                <w:szCs w:val="16"/>
              </w:rPr>
            </w:pPr>
          </w:p>
        </w:tc>
        <w:tc>
          <w:tcPr>
            <w:tcW w:w="720" w:type="dxa"/>
            <w:shd w:val="clear" w:color="auto" w:fill="BFBFBF" w:themeFill="background1" w:themeFillShade="BF"/>
          </w:tcPr>
          <w:p w:rsidR="00D92364" w:rsidRPr="00641EC8" w:rsidRDefault="00D92364" w:rsidP="00D92364">
            <w:pPr>
              <w:jc w:val="center"/>
              <w:rPr>
                <w:b/>
                <w:sz w:val="16"/>
                <w:szCs w:val="16"/>
              </w:rPr>
            </w:pPr>
          </w:p>
        </w:tc>
        <w:tc>
          <w:tcPr>
            <w:tcW w:w="1080" w:type="dxa"/>
            <w:shd w:val="clear" w:color="auto" w:fill="BFBFBF" w:themeFill="background1" w:themeFillShade="BF"/>
          </w:tcPr>
          <w:p w:rsidR="00D92364" w:rsidRPr="00641EC8" w:rsidRDefault="00D92364" w:rsidP="00D92364">
            <w:pPr>
              <w:jc w:val="center"/>
              <w:rPr>
                <w:b/>
                <w:sz w:val="16"/>
                <w:szCs w:val="16"/>
              </w:rPr>
            </w:pPr>
          </w:p>
        </w:tc>
      </w:tr>
      <w:tr w:rsidR="00D92364" w:rsidRPr="00641EC8" w:rsidTr="00D92364">
        <w:trPr>
          <w:trHeight w:val="347"/>
        </w:trPr>
        <w:tc>
          <w:tcPr>
            <w:tcW w:w="1890" w:type="dxa"/>
          </w:tcPr>
          <w:p w:rsidR="00D92364" w:rsidRPr="00641EC8" w:rsidRDefault="00D92364" w:rsidP="00D92364">
            <w:pPr>
              <w:rPr>
                <w:b/>
                <w:sz w:val="16"/>
                <w:szCs w:val="16"/>
                <w:u w:val="single"/>
              </w:rPr>
            </w:pPr>
            <w:r w:rsidRPr="00641EC8">
              <w:rPr>
                <w:sz w:val="16"/>
                <w:szCs w:val="16"/>
              </w:rPr>
              <w:t>Alpha Tau Omega</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63"/>
        </w:trPr>
        <w:tc>
          <w:tcPr>
            <w:tcW w:w="1890" w:type="dxa"/>
          </w:tcPr>
          <w:p w:rsidR="00D92364" w:rsidRPr="00641EC8" w:rsidRDefault="00D92364" w:rsidP="00D92364">
            <w:pPr>
              <w:rPr>
                <w:sz w:val="16"/>
                <w:szCs w:val="16"/>
              </w:rPr>
            </w:pPr>
            <w:r w:rsidRPr="00641EC8">
              <w:rPr>
                <w:sz w:val="16"/>
                <w:szCs w:val="16"/>
              </w:rPr>
              <w:t>Delta Sigma Phi</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35"/>
        </w:trPr>
        <w:tc>
          <w:tcPr>
            <w:tcW w:w="1890" w:type="dxa"/>
          </w:tcPr>
          <w:p w:rsidR="00D92364" w:rsidRPr="00641EC8" w:rsidRDefault="00D92364" w:rsidP="00D92364">
            <w:pPr>
              <w:rPr>
                <w:sz w:val="16"/>
                <w:szCs w:val="16"/>
              </w:rPr>
            </w:pPr>
            <w:r w:rsidRPr="00641EC8">
              <w:rPr>
                <w:sz w:val="16"/>
                <w:szCs w:val="16"/>
              </w:rPr>
              <w:t>Delta Tau Delta</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80"/>
        </w:trPr>
        <w:tc>
          <w:tcPr>
            <w:tcW w:w="1890" w:type="dxa"/>
          </w:tcPr>
          <w:p w:rsidR="00D92364" w:rsidRPr="00641EC8" w:rsidRDefault="00D92364" w:rsidP="00D92364">
            <w:pPr>
              <w:rPr>
                <w:sz w:val="16"/>
                <w:szCs w:val="16"/>
              </w:rPr>
            </w:pPr>
            <w:r w:rsidRPr="00641EC8">
              <w:rPr>
                <w:sz w:val="16"/>
                <w:szCs w:val="16"/>
              </w:rPr>
              <w:t>Sigma Chi</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r w:rsidR="00D92364" w:rsidRPr="00641EC8" w:rsidTr="00D92364">
        <w:trPr>
          <w:trHeight w:val="320"/>
        </w:trPr>
        <w:tc>
          <w:tcPr>
            <w:tcW w:w="1890" w:type="dxa"/>
          </w:tcPr>
          <w:p w:rsidR="00D92364" w:rsidRPr="00641EC8" w:rsidRDefault="00D92364" w:rsidP="00D92364">
            <w:pPr>
              <w:rPr>
                <w:sz w:val="16"/>
                <w:szCs w:val="16"/>
              </w:rPr>
            </w:pPr>
            <w:r w:rsidRPr="00641EC8">
              <w:rPr>
                <w:sz w:val="16"/>
                <w:szCs w:val="16"/>
              </w:rPr>
              <w:t>Sigma Nu</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450"/>
        </w:trPr>
        <w:tc>
          <w:tcPr>
            <w:tcW w:w="1890" w:type="dxa"/>
          </w:tcPr>
          <w:p w:rsidR="00D92364" w:rsidRPr="00641EC8" w:rsidRDefault="00D92364" w:rsidP="00D92364">
            <w:pPr>
              <w:rPr>
                <w:sz w:val="16"/>
                <w:szCs w:val="16"/>
              </w:rPr>
            </w:pPr>
            <w:r w:rsidRPr="00641EC8">
              <w:rPr>
                <w:sz w:val="16"/>
                <w:szCs w:val="16"/>
              </w:rPr>
              <w:t xml:space="preserve">Tau Kappa Epsilon </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1</w:t>
            </w:r>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r>
      <w:tr w:rsidR="00D92364" w:rsidRPr="00641EC8" w:rsidTr="00D92364">
        <w:trPr>
          <w:trHeight w:val="320"/>
        </w:trPr>
        <w:tc>
          <w:tcPr>
            <w:tcW w:w="1890" w:type="dxa"/>
          </w:tcPr>
          <w:p w:rsidR="00D92364" w:rsidRPr="00641EC8" w:rsidRDefault="00D92364" w:rsidP="00D92364">
            <w:pPr>
              <w:rPr>
                <w:b/>
                <w:sz w:val="16"/>
                <w:szCs w:val="16"/>
              </w:rPr>
            </w:pPr>
            <w:r w:rsidRPr="00641EC8">
              <w:rPr>
                <w:b/>
                <w:sz w:val="16"/>
                <w:szCs w:val="16"/>
              </w:rPr>
              <w:t>Totals</w:t>
            </w:r>
          </w:p>
        </w:tc>
        <w:tc>
          <w:tcPr>
            <w:tcW w:w="1008" w:type="dxa"/>
            <w:shd w:val="clear" w:color="auto" w:fill="auto"/>
          </w:tcPr>
          <w:p w:rsidR="00D92364" w:rsidRPr="00641EC8" w:rsidRDefault="00D92364" w:rsidP="00D92364">
            <w:pPr>
              <w:jc w:val="center"/>
              <w:rPr>
                <w:b/>
                <w:sz w:val="16"/>
                <w:szCs w:val="16"/>
              </w:rPr>
            </w:pPr>
            <w:r w:rsidRPr="00641EC8">
              <w:rPr>
                <w:b/>
                <w:sz w:val="16"/>
                <w:szCs w:val="16"/>
              </w:rPr>
              <w:t>0</w:t>
            </w:r>
          </w:p>
        </w:tc>
        <w:tc>
          <w:tcPr>
            <w:tcW w:w="1170" w:type="dxa"/>
            <w:shd w:val="clear" w:color="auto" w:fill="auto"/>
          </w:tcPr>
          <w:p w:rsidR="00D92364" w:rsidRPr="00641EC8" w:rsidRDefault="00D92364" w:rsidP="00D92364">
            <w:pPr>
              <w:jc w:val="center"/>
              <w:rPr>
                <w:b/>
                <w:sz w:val="16"/>
                <w:szCs w:val="16"/>
              </w:rPr>
            </w:pPr>
            <w:r>
              <w:rPr>
                <w:b/>
                <w:sz w:val="16"/>
                <w:szCs w:val="16"/>
              </w:rPr>
              <w:t>0</w:t>
            </w:r>
          </w:p>
        </w:tc>
        <w:tc>
          <w:tcPr>
            <w:tcW w:w="1080" w:type="dxa"/>
            <w:shd w:val="clear" w:color="auto" w:fill="auto"/>
          </w:tcPr>
          <w:p w:rsidR="00D92364" w:rsidRPr="00641EC8" w:rsidRDefault="00D92364" w:rsidP="00D92364">
            <w:pPr>
              <w:jc w:val="center"/>
              <w:rPr>
                <w:b/>
                <w:sz w:val="16"/>
                <w:szCs w:val="16"/>
              </w:rPr>
            </w:pPr>
            <w:r w:rsidRPr="00641EC8">
              <w:rPr>
                <w:b/>
                <w:sz w:val="16"/>
                <w:szCs w:val="16"/>
              </w:rPr>
              <w:t>0</w:t>
            </w:r>
          </w:p>
        </w:tc>
        <w:tc>
          <w:tcPr>
            <w:tcW w:w="900" w:type="dxa"/>
            <w:shd w:val="clear" w:color="auto" w:fill="auto"/>
          </w:tcPr>
          <w:p w:rsidR="00D92364" w:rsidRPr="00641EC8" w:rsidRDefault="00D92364" w:rsidP="00D92364">
            <w:pPr>
              <w:jc w:val="center"/>
              <w:rPr>
                <w:b/>
                <w:sz w:val="16"/>
                <w:szCs w:val="16"/>
              </w:rPr>
            </w:pPr>
            <w:r>
              <w:rPr>
                <w:b/>
                <w:sz w:val="16"/>
                <w:szCs w:val="16"/>
              </w:rPr>
              <w:t>0</w:t>
            </w:r>
          </w:p>
        </w:tc>
        <w:tc>
          <w:tcPr>
            <w:tcW w:w="720" w:type="dxa"/>
            <w:shd w:val="clear" w:color="auto" w:fill="auto"/>
          </w:tcPr>
          <w:p w:rsidR="00D92364" w:rsidRPr="00641EC8" w:rsidRDefault="00D92364" w:rsidP="00D92364">
            <w:pPr>
              <w:jc w:val="center"/>
              <w:rPr>
                <w:b/>
                <w:sz w:val="16"/>
                <w:szCs w:val="16"/>
              </w:rPr>
            </w:pPr>
            <w:r>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sidRPr="00641EC8">
              <w:rPr>
                <w:b/>
                <w:sz w:val="16"/>
                <w:szCs w:val="16"/>
              </w:rPr>
              <w:t>0</w:t>
            </w:r>
          </w:p>
        </w:tc>
        <w:tc>
          <w:tcPr>
            <w:tcW w:w="630" w:type="dxa"/>
            <w:shd w:val="clear" w:color="auto" w:fill="auto"/>
          </w:tcPr>
          <w:p w:rsidR="00D92364" w:rsidRPr="00641EC8" w:rsidRDefault="00D92364" w:rsidP="00D92364">
            <w:pPr>
              <w:jc w:val="center"/>
              <w:rPr>
                <w:b/>
                <w:sz w:val="16"/>
                <w:szCs w:val="16"/>
              </w:rPr>
            </w:pPr>
            <w:r>
              <w:rPr>
                <w:b/>
                <w:sz w:val="16"/>
                <w:szCs w:val="16"/>
              </w:rPr>
              <w:t>2</w:t>
            </w:r>
            <w:r>
              <w:rPr>
                <w:b/>
                <w:sz w:val="16"/>
                <w:szCs w:val="16"/>
              </w:rPr>
              <w:t>5</w:t>
            </w:r>
            <w:bookmarkStart w:id="0" w:name="_GoBack"/>
            <w:bookmarkEnd w:id="0"/>
          </w:p>
        </w:tc>
        <w:tc>
          <w:tcPr>
            <w:tcW w:w="810" w:type="dxa"/>
            <w:shd w:val="clear" w:color="auto" w:fill="auto"/>
          </w:tcPr>
          <w:p w:rsidR="00D92364" w:rsidRPr="00641EC8" w:rsidRDefault="00D92364" w:rsidP="00D92364">
            <w:pPr>
              <w:jc w:val="center"/>
              <w:rPr>
                <w:b/>
                <w:sz w:val="16"/>
                <w:szCs w:val="16"/>
              </w:rPr>
            </w:pPr>
            <w:r w:rsidRPr="00641EC8">
              <w:rPr>
                <w:b/>
                <w:sz w:val="16"/>
                <w:szCs w:val="16"/>
              </w:rPr>
              <w:t>0</w:t>
            </w:r>
          </w:p>
        </w:tc>
        <w:tc>
          <w:tcPr>
            <w:tcW w:w="720" w:type="dxa"/>
            <w:shd w:val="clear" w:color="auto" w:fill="auto"/>
          </w:tcPr>
          <w:p w:rsidR="00D92364" w:rsidRPr="00641EC8" w:rsidRDefault="00D92364" w:rsidP="00D92364">
            <w:pPr>
              <w:jc w:val="center"/>
              <w:rPr>
                <w:b/>
                <w:sz w:val="16"/>
                <w:szCs w:val="16"/>
              </w:rPr>
            </w:pPr>
            <w:r w:rsidRPr="00641EC8">
              <w:rPr>
                <w:b/>
                <w:sz w:val="16"/>
                <w:szCs w:val="16"/>
              </w:rPr>
              <w:t>0</w:t>
            </w:r>
          </w:p>
        </w:tc>
        <w:tc>
          <w:tcPr>
            <w:tcW w:w="1080" w:type="dxa"/>
            <w:shd w:val="clear" w:color="auto" w:fill="auto"/>
          </w:tcPr>
          <w:p w:rsidR="00D92364" w:rsidRPr="00641EC8" w:rsidRDefault="00D92364" w:rsidP="00D92364">
            <w:pPr>
              <w:jc w:val="center"/>
              <w:rPr>
                <w:b/>
                <w:sz w:val="16"/>
                <w:szCs w:val="16"/>
              </w:rPr>
            </w:pPr>
            <w:r>
              <w:rPr>
                <w:b/>
                <w:sz w:val="16"/>
                <w:szCs w:val="16"/>
              </w:rPr>
              <w:t>0</w:t>
            </w:r>
          </w:p>
        </w:tc>
      </w:tr>
    </w:tbl>
    <w:p w:rsidR="00083B03" w:rsidRDefault="00083B03" w:rsidP="00B777AC">
      <w:pPr>
        <w:jc w:val="center"/>
        <w:rPr>
          <w:sz w:val="18"/>
          <w:szCs w:val="18"/>
        </w:rPr>
      </w:pPr>
    </w:p>
    <w:p w:rsidR="00083B03" w:rsidRPr="0039403F" w:rsidRDefault="00083B03" w:rsidP="00D92364">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3B" w:rsidRDefault="00BF323B" w:rsidP="00E604EF">
      <w:pPr>
        <w:spacing w:after="0" w:line="240" w:lineRule="auto"/>
      </w:pPr>
      <w:r>
        <w:separator/>
      </w:r>
    </w:p>
  </w:endnote>
  <w:endnote w:type="continuationSeparator" w:id="0">
    <w:p w:rsidR="00BF323B" w:rsidRDefault="00BF323B"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3B" w:rsidRDefault="00BF323B" w:rsidP="00E604EF">
      <w:pPr>
        <w:spacing w:after="0" w:line="240" w:lineRule="auto"/>
      </w:pPr>
      <w:r>
        <w:separator/>
      </w:r>
    </w:p>
  </w:footnote>
  <w:footnote w:type="continuationSeparator" w:id="0">
    <w:p w:rsidR="00BF323B" w:rsidRDefault="00BF323B"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B2E0C"/>
    <w:rsid w:val="000B5009"/>
    <w:rsid w:val="000C1926"/>
    <w:rsid w:val="000F5184"/>
    <w:rsid w:val="00160DFD"/>
    <w:rsid w:val="00186557"/>
    <w:rsid w:val="001A5F36"/>
    <w:rsid w:val="001C0F35"/>
    <w:rsid w:val="001C2044"/>
    <w:rsid w:val="001D6B05"/>
    <w:rsid w:val="001F34D0"/>
    <w:rsid w:val="00257ED7"/>
    <w:rsid w:val="002A2F99"/>
    <w:rsid w:val="002B0C7B"/>
    <w:rsid w:val="002B6B54"/>
    <w:rsid w:val="002D4425"/>
    <w:rsid w:val="002F034F"/>
    <w:rsid w:val="003013AB"/>
    <w:rsid w:val="003077D1"/>
    <w:rsid w:val="003367A1"/>
    <w:rsid w:val="0036282D"/>
    <w:rsid w:val="00413415"/>
    <w:rsid w:val="00417D55"/>
    <w:rsid w:val="00425346"/>
    <w:rsid w:val="004262E1"/>
    <w:rsid w:val="00431677"/>
    <w:rsid w:val="00445E2A"/>
    <w:rsid w:val="004A078B"/>
    <w:rsid w:val="004A2E66"/>
    <w:rsid w:val="004D5E34"/>
    <w:rsid w:val="004F2D86"/>
    <w:rsid w:val="00520317"/>
    <w:rsid w:val="005902DA"/>
    <w:rsid w:val="005F399D"/>
    <w:rsid w:val="00622662"/>
    <w:rsid w:val="00633D30"/>
    <w:rsid w:val="00636D78"/>
    <w:rsid w:val="00641EC8"/>
    <w:rsid w:val="0069306E"/>
    <w:rsid w:val="0069750B"/>
    <w:rsid w:val="006B29F9"/>
    <w:rsid w:val="00714293"/>
    <w:rsid w:val="0072473A"/>
    <w:rsid w:val="00735FAA"/>
    <w:rsid w:val="00750D49"/>
    <w:rsid w:val="007609EE"/>
    <w:rsid w:val="00782B6D"/>
    <w:rsid w:val="007847BA"/>
    <w:rsid w:val="007A5F45"/>
    <w:rsid w:val="007B5799"/>
    <w:rsid w:val="007C29EA"/>
    <w:rsid w:val="007F7EAD"/>
    <w:rsid w:val="00820E19"/>
    <w:rsid w:val="00867BC8"/>
    <w:rsid w:val="00980A17"/>
    <w:rsid w:val="00984626"/>
    <w:rsid w:val="00992929"/>
    <w:rsid w:val="009F0EE5"/>
    <w:rsid w:val="00A06042"/>
    <w:rsid w:val="00A240B7"/>
    <w:rsid w:val="00A34F76"/>
    <w:rsid w:val="00A619BC"/>
    <w:rsid w:val="00A7732A"/>
    <w:rsid w:val="00AA69C4"/>
    <w:rsid w:val="00AD097C"/>
    <w:rsid w:val="00AE508E"/>
    <w:rsid w:val="00B06FC0"/>
    <w:rsid w:val="00B1613C"/>
    <w:rsid w:val="00B177FB"/>
    <w:rsid w:val="00B40F3A"/>
    <w:rsid w:val="00B64D35"/>
    <w:rsid w:val="00B73461"/>
    <w:rsid w:val="00B777AC"/>
    <w:rsid w:val="00B90FAD"/>
    <w:rsid w:val="00B96E34"/>
    <w:rsid w:val="00BD4178"/>
    <w:rsid w:val="00BE2778"/>
    <w:rsid w:val="00BF0CC4"/>
    <w:rsid w:val="00BF2363"/>
    <w:rsid w:val="00BF323B"/>
    <w:rsid w:val="00C1746B"/>
    <w:rsid w:val="00C32F53"/>
    <w:rsid w:val="00C35454"/>
    <w:rsid w:val="00C43B13"/>
    <w:rsid w:val="00C734D1"/>
    <w:rsid w:val="00C74F44"/>
    <w:rsid w:val="00C822F1"/>
    <w:rsid w:val="00CB324A"/>
    <w:rsid w:val="00CD1142"/>
    <w:rsid w:val="00D13AF1"/>
    <w:rsid w:val="00D4491A"/>
    <w:rsid w:val="00D55279"/>
    <w:rsid w:val="00D7101F"/>
    <w:rsid w:val="00D92364"/>
    <w:rsid w:val="00E271EF"/>
    <w:rsid w:val="00E37C99"/>
    <w:rsid w:val="00E604EF"/>
    <w:rsid w:val="00EB0444"/>
    <w:rsid w:val="00EF21C8"/>
    <w:rsid w:val="00EF2A6E"/>
    <w:rsid w:val="00F35F17"/>
    <w:rsid w:val="00F46B65"/>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0F37E-7970-412E-AC2F-82D95788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ion.edu/campus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student-life/campus-safety/clery-report" TargetMode="External"/><Relationship Id="rId5" Type="http://schemas.openxmlformats.org/officeDocument/2006/relationships/webSettings" Target="webSettings.xml"/><Relationship Id="rId10" Type="http://schemas.openxmlformats.org/officeDocument/2006/relationships/hyperlink" Target="mailto:jcollins@albion.edu" TargetMode="External"/><Relationship Id="rId4" Type="http://schemas.openxmlformats.org/officeDocument/2006/relationships/settings" Target="settings.xml"/><Relationship Id="rId9" Type="http://schemas.openxmlformats.org/officeDocument/2006/relationships/hyperlink" Target="mailto:csdirector@albi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C39F-BFB5-42F4-9996-E4D692A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3</cp:revision>
  <cp:lastPrinted>2010-09-16T15:42:00Z</cp:lastPrinted>
  <dcterms:created xsi:type="dcterms:W3CDTF">2014-09-26T17:00:00Z</dcterms:created>
  <dcterms:modified xsi:type="dcterms:W3CDTF">2014-09-29T12:49:00Z</dcterms:modified>
</cp:coreProperties>
</file>