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0A" w:rsidRPr="003F120A" w:rsidRDefault="003F120A" w:rsidP="003F120A">
      <w:pPr>
        <w:spacing w:after="0" w:line="240" w:lineRule="auto"/>
        <w:jc w:val="center"/>
        <w:rPr>
          <w:rFonts w:ascii="Times New Roman" w:eastAsia="Times New Roman" w:hAnsi="Times New Roman" w:cs="Times New Roman"/>
          <w:szCs w:val="24"/>
        </w:rPr>
      </w:pPr>
      <w:r w:rsidRPr="003F120A">
        <w:rPr>
          <w:rFonts w:ascii="Times New Roman" w:eastAsia="Times New Roman" w:hAnsi="Times New Roman" w:cs="Times New Roman"/>
          <w:b/>
          <w:bCs/>
          <w:color w:val="000000"/>
          <w:szCs w:val="24"/>
          <w:u w:val="single"/>
          <w:shd w:val="clear" w:color="auto" w:fill="FFFFFF"/>
        </w:rPr>
        <w:t>August, 2009 Assessment Committee Feedback:</w:t>
      </w:r>
      <w:r w:rsidR="005D26A2">
        <w:rPr>
          <w:rFonts w:ascii="Times New Roman" w:eastAsia="Times New Roman" w:hAnsi="Times New Roman" w:cs="Times New Roman"/>
          <w:b/>
          <w:bCs/>
          <w:color w:val="000000"/>
          <w:szCs w:val="24"/>
          <w:u w:val="single"/>
          <w:shd w:val="clear" w:color="auto" w:fill="FFFFFF"/>
        </w:rPr>
        <w:t xml:space="preserve"> Chemistry</w:t>
      </w:r>
    </w:p>
    <w:p w:rsidR="003F120A" w:rsidRPr="003F120A" w:rsidRDefault="003F120A" w:rsidP="003F120A">
      <w:pPr>
        <w:spacing w:after="0" w:line="240" w:lineRule="auto"/>
        <w:jc w:val="center"/>
        <w:rPr>
          <w:rFonts w:ascii="Times New Roman" w:eastAsia="Times New Roman" w:hAnsi="Times New Roman" w:cs="Times New Roman"/>
          <w:szCs w:val="24"/>
        </w:rPr>
      </w:pPr>
      <w:r w:rsidRPr="003F120A">
        <w:rPr>
          <w:rFonts w:ascii="Times New Roman" w:eastAsia="Times New Roman" w:hAnsi="Times New Roman" w:cs="Times New Roman"/>
          <w:szCs w:val="24"/>
          <w:shd w:val="clear" w:color="auto" w:fill="FFFFFF"/>
        </w:rPr>
        <w:t> </w:t>
      </w:r>
    </w:p>
    <w:p w:rsidR="003F120A" w:rsidRPr="003F120A" w:rsidRDefault="003F120A" w:rsidP="003F120A">
      <w:pPr>
        <w:spacing w:after="0" w:line="240" w:lineRule="auto"/>
        <w:outlineLvl w:val="2"/>
        <w:rPr>
          <w:rFonts w:ascii="Times New Roman" w:eastAsia="Times New Roman" w:hAnsi="Times New Roman" w:cs="Times New Roman"/>
          <w:b/>
          <w:bCs/>
          <w:szCs w:val="24"/>
        </w:rPr>
      </w:pPr>
      <w:r w:rsidRPr="003F120A">
        <w:rPr>
          <w:rFonts w:ascii="Times New Roman" w:eastAsia="Times New Roman" w:hAnsi="Times New Roman" w:cs="Times New Roman"/>
          <w:b/>
          <w:bCs/>
          <w:color w:val="000000"/>
          <w:szCs w:val="24"/>
          <w:shd w:val="clear" w:color="auto" w:fill="FFFFFF"/>
        </w:rPr>
        <w:t>Assessment Committee Contact Person: Beth Lincoln</w:t>
      </w:r>
    </w:p>
    <w:p w:rsidR="003F120A" w:rsidRPr="003F120A" w:rsidRDefault="003F120A" w:rsidP="003F120A">
      <w:pPr>
        <w:spacing w:after="0" w:line="240" w:lineRule="auto"/>
        <w:outlineLvl w:val="2"/>
        <w:rPr>
          <w:rFonts w:ascii="Times New Roman" w:eastAsia="Times New Roman" w:hAnsi="Times New Roman" w:cs="Times New Roman"/>
          <w:b/>
          <w:bCs/>
          <w:szCs w:val="24"/>
        </w:rPr>
      </w:pPr>
      <w:r w:rsidRPr="003F120A">
        <w:rPr>
          <w:rFonts w:ascii="Times New Roman" w:eastAsia="Times New Roman" w:hAnsi="Times New Roman" w:cs="Times New Roman"/>
          <w:b/>
          <w:bCs/>
          <w:color w:val="000000"/>
          <w:szCs w:val="24"/>
          <w:shd w:val="clear" w:color="auto" w:fill="FFFFFF"/>
        </w:rPr>
        <w:t>Plan also reviewed by: Melissa Mercer-</w:t>
      </w:r>
      <w:proofErr w:type="spellStart"/>
      <w:r w:rsidRPr="003F120A">
        <w:rPr>
          <w:rFonts w:ascii="Times New Roman" w:eastAsia="Times New Roman" w:hAnsi="Times New Roman" w:cs="Times New Roman"/>
          <w:b/>
          <w:bCs/>
          <w:color w:val="000000"/>
          <w:szCs w:val="24"/>
          <w:shd w:val="clear" w:color="auto" w:fill="FFFFFF"/>
        </w:rPr>
        <w:t>Tachick</w:t>
      </w:r>
      <w:proofErr w:type="spellEnd"/>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b/>
          <w:bCs/>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xml:space="preserve">Thank you for the hard work that went into your assessment plan. As we carefully reviewed your Steps, it became clear just how much thought and effort went into your work. There were some real </w:t>
      </w:r>
      <w:proofErr w:type="gramStart"/>
      <w:r w:rsidRPr="003F120A">
        <w:rPr>
          <w:rFonts w:ascii="Times New Roman" w:hAnsi="Times New Roman" w:cs="Times New Roman"/>
          <w:szCs w:val="24"/>
          <w:shd w:val="clear" w:color="auto" w:fill="FFFFFF"/>
        </w:rPr>
        <w:t>strengths</w:t>
      </w:r>
      <w:proofErr w:type="gramEnd"/>
      <w:r w:rsidRPr="003F120A">
        <w:rPr>
          <w:rFonts w:ascii="Times New Roman" w:hAnsi="Times New Roman" w:cs="Times New Roman"/>
          <w:szCs w:val="24"/>
          <w:shd w:val="clear" w:color="auto" w:fill="FFFFFF"/>
        </w:rPr>
        <w:t xml:space="preserve"> in your work, and we celebrate these with you!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3F120A">
        <w:rPr>
          <w:rFonts w:ascii="Times New Roman" w:hAnsi="Times New Roman" w:cs="Times New Roman"/>
          <w:szCs w:val="24"/>
          <w:shd w:val="clear" w:color="auto" w:fill="FFFFFF"/>
        </w:rPr>
        <w:t>measures</w:t>
      </w:r>
      <w:bookmarkStart w:id="0" w:name="_ftnref1"/>
      <w:proofErr w:type="gramEnd"/>
      <w:r w:rsidR="00E57476" w:rsidRPr="003F120A">
        <w:rPr>
          <w:rFonts w:ascii="Times New Roman" w:hAnsi="Times New Roman" w:cs="Times New Roman"/>
          <w:szCs w:val="24"/>
        </w:rPr>
        <w:fldChar w:fldCharType="begin"/>
      </w:r>
      <w:r w:rsidRPr="003F120A">
        <w:rPr>
          <w:rFonts w:ascii="Times New Roman" w:hAnsi="Times New Roman" w:cs="Times New Roman"/>
          <w:szCs w:val="24"/>
        </w:rPr>
        <w:instrText xml:space="preserve"> HYPERLINK "https://docs.google.com/a/albion.edu/Doc?docid=0AUaAHaCO2ORDZGh0bWJ0NXJfMWNoYnJudzM1&amp;hl=en" \l "_ftn1" \o "" \t "_self" </w:instrText>
      </w:r>
      <w:r w:rsidR="00E57476" w:rsidRPr="003F120A">
        <w:rPr>
          <w:rFonts w:ascii="Times New Roman" w:hAnsi="Times New Roman" w:cs="Times New Roman"/>
          <w:szCs w:val="24"/>
        </w:rPr>
        <w:fldChar w:fldCharType="separate"/>
      </w:r>
      <w:r w:rsidRPr="003F120A">
        <w:rPr>
          <w:rFonts w:ascii="Times New Roman" w:hAnsi="Times New Roman" w:cs="Times New Roman"/>
          <w:color w:val="0000FF"/>
          <w:szCs w:val="24"/>
          <w:u w:val="single"/>
        </w:rPr>
        <w:t>[1]</w:t>
      </w:r>
      <w:r w:rsidR="00E57476" w:rsidRPr="003F120A">
        <w:rPr>
          <w:rFonts w:ascii="Times New Roman" w:hAnsi="Times New Roman" w:cs="Times New Roman"/>
          <w:szCs w:val="24"/>
        </w:rPr>
        <w:fldChar w:fldCharType="end"/>
      </w:r>
      <w:bookmarkEnd w:id="0"/>
      <w:r w:rsidRPr="003F120A">
        <w:rPr>
          <w:rFonts w:ascii="Times New Roman" w:hAnsi="Times New Roman" w:cs="Times New Roman"/>
          <w:szCs w:val="24"/>
          <w:shd w:val="clear" w:color="auto" w:fill="FFFFFF"/>
        </w:rPr>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xml:space="preserve">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Comments specific to your plan:</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Steps 1 (Mission) and 2 (Learning Goals) are well done.  You have a nice blend of specific content- related outcomes and general skills- related ones.   It would be useful if you could make the linkage between the departmental mission and your Learning Goals more explicit.  Do you ever assess the “informed citizenry” part of your mission?  </w:t>
      </w:r>
      <w:r w:rsidRPr="003F120A">
        <w:rPr>
          <w:rFonts w:ascii="Times New Roman" w:hAnsi="Times New Roman" w:cs="Times New Roman"/>
          <w:b/>
          <w:bCs/>
          <w:szCs w:val="24"/>
          <w:shd w:val="clear" w:color="auto" w:fill="FFFFFF"/>
        </w:rPr>
        <w:t>No, we feel that the "informed citizenry" clause is created by satisfactory progress toward our other learning goals.</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Step 3, Program Components, is a copy of the Chemistry catalog course listing.  It would be more useful to have the program elements grouped by the outcome to which they relate, as you have done in Step 4.</w:t>
      </w:r>
      <w:r w:rsidRPr="003F120A">
        <w:rPr>
          <w:rFonts w:ascii="Times New Roman" w:hAnsi="Times New Roman" w:cs="Times New Roman"/>
          <w:b/>
          <w:bCs/>
          <w:i/>
          <w:iCs/>
          <w:szCs w:val="24"/>
          <w:shd w:val="clear" w:color="auto" w:fill="FFFFFF"/>
        </w:rPr>
        <w:t xml:space="preserve"> Required courses, elective </w:t>
      </w:r>
      <w:proofErr w:type="spellStart"/>
      <w:r w:rsidRPr="003F120A">
        <w:rPr>
          <w:rFonts w:ascii="Times New Roman" w:hAnsi="Times New Roman" w:cs="Times New Roman"/>
          <w:b/>
          <w:bCs/>
          <w:i/>
          <w:iCs/>
          <w:szCs w:val="24"/>
          <w:shd w:val="clear" w:color="auto" w:fill="FFFFFF"/>
        </w:rPr>
        <w:t>courses</w:t>
      </w:r>
      <w:proofErr w:type="gramStart"/>
      <w:r w:rsidRPr="003F120A">
        <w:rPr>
          <w:rFonts w:ascii="Times New Roman" w:hAnsi="Times New Roman" w:cs="Times New Roman"/>
          <w:b/>
          <w:bCs/>
          <w:i/>
          <w:iCs/>
          <w:szCs w:val="24"/>
          <w:shd w:val="clear" w:color="auto" w:fill="FFFFFF"/>
        </w:rPr>
        <w:t>,out</w:t>
      </w:r>
      <w:proofErr w:type="spellEnd"/>
      <w:proofErr w:type="gramEnd"/>
      <w:r w:rsidRPr="003F120A">
        <w:rPr>
          <w:rFonts w:ascii="Times New Roman" w:hAnsi="Times New Roman" w:cs="Times New Roman"/>
          <w:b/>
          <w:bCs/>
          <w:i/>
          <w:iCs/>
          <w:szCs w:val="24"/>
          <w:shd w:val="clear" w:color="auto" w:fill="FFFFFF"/>
        </w:rPr>
        <w:t xml:space="preserve">-of-classroom or other experiences that are designed to achieve each educational objective. NOTE: Every class will not, nor is it expected </w:t>
      </w:r>
      <w:proofErr w:type="spellStart"/>
      <w:r w:rsidRPr="003F120A">
        <w:rPr>
          <w:rFonts w:ascii="Times New Roman" w:hAnsi="Times New Roman" w:cs="Times New Roman"/>
          <w:b/>
          <w:bCs/>
          <w:i/>
          <w:iCs/>
          <w:szCs w:val="24"/>
          <w:shd w:val="clear" w:color="auto" w:fill="FFFFFF"/>
        </w:rPr>
        <w:t>to</w:t>
      </w:r>
      <w:proofErr w:type="gramStart"/>
      <w:r w:rsidRPr="003F120A">
        <w:rPr>
          <w:rFonts w:ascii="Times New Roman" w:hAnsi="Times New Roman" w:cs="Times New Roman"/>
          <w:b/>
          <w:bCs/>
          <w:i/>
          <w:iCs/>
          <w:szCs w:val="24"/>
          <w:shd w:val="clear" w:color="auto" w:fill="FFFFFF"/>
        </w:rPr>
        <w:t>,achieve</w:t>
      </w:r>
      <w:proofErr w:type="spellEnd"/>
      <w:proofErr w:type="gramEnd"/>
      <w:r w:rsidRPr="003F120A">
        <w:rPr>
          <w:rFonts w:ascii="Times New Roman" w:hAnsi="Times New Roman" w:cs="Times New Roman"/>
          <w:b/>
          <w:bCs/>
          <w:i/>
          <w:iCs/>
          <w:szCs w:val="24"/>
          <w:shd w:val="clear" w:color="auto" w:fill="FFFFFF"/>
        </w:rPr>
        <w:t xml:space="preserve"> each outcome. The goal is to get an even distribution of experiences that achieve the outcomes.  The instructions come with NO requirement to group them this way. Useful to whom, </w:t>
      </w:r>
      <w:proofErr w:type="gramStart"/>
      <w:r w:rsidRPr="003F120A">
        <w:rPr>
          <w:rFonts w:ascii="Times New Roman" w:hAnsi="Times New Roman" w:cs="Times New Roman"/>
          <w:b/>
          <w:bCs/>
          <w:i/>
          <w:iCs/>
          <w:szCs w:val="24"/>
          <w:shd w:val="clear" w:color="auto" w:fill="FFFFFF"/>
        </w:rPr>
        <w:t>Since</w:t>
      </w:r>
      <w:proofErr w:type="gramEnd"/>
      <w:r w:rsidRPr="003F120A">
        <w:rPr>
          <w:rFonts w:ascii="Times New Roman" w:hAnsi="Times New Roman" w:cs="Times New Roman"/>
          <w:b/>
          <w:bCs/>
          <w:i/>
          <w:iCs/>
          <w:szCs w:val="24"/>
          <w:shd w:val="clear" w:color="auto" w:fill="FFFFFF"/>
        </w:rPr>
        <w:t xml:space="preserve"> learning goals 1 and 2 are course specific, reordering seems a bit of a waste of time.</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xml:space="preserve">In Step 4 on Methods you have done an excellent job of linking outcomes to courses to methods for the first three Learning Goals.  You are to be commended for using what you are already doing in classes for the purposes of assessment.  In this way your plan should be sustainable.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lastRenderedPageBreak/>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Learning goals 1-3 are concrete and measurable.  We do have a few questions, however.   Under the method for assessing Learning Goal #1, the target is set at 50% of the students taking Chemistry 121 attaining an 85% score on the identified questions.  In Chemistry’s report from 2005, it was reported that the department felt that 50% of the students passing Chemistry 121 might be a better measure. Have you decided to return to setting 50% of the entire population as the goal?  </w:t>
      </w:r>
      <w:r w:rsidRPr="003F120A">
        <w:rPr>
          <w:rFonts w:ascii="Times New Roman" w:hAnsi="Times New Roman" w:cs="Times New Roman"/>
          <w:b/>
          <w:bCs/>
          <w:szCs w:val="24"/>
          <w:shd w:val="clear" w:color="auto" w:fill="FFFFFF"/>
        </w:rPr>
        <w:t>Yes, we have made that return.  Given out students' preparedness coming to Albion and given a desire to NOT encourage Grade inflation (as is, 50% reaching a score of 85% suggests and average (or median) of 85%, a 3.3 for a grade.</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The evaluation of research projects and poster sessions is an important part of assessing Goal #3.  The department uses a common form for soliciting evaluations for posters, but is there a common rubric that all use to assign the scores?  </w:t>
      </w:r>
      <w:r w:rsidRPr="003F120A">
        <w:rPr>
          <w:rFonts w:ascii="Times New Roman" w:hAnsi="Times New Roman" w:cs="Times New Roman"/>
          <w:b/>
          <w:bCs/>
          <w:szCs w:val="24"/>
          <w:shd w:val="clear" w:color="auto" w:fill="FFFFFF"/>
        </w:rPr>
        <w:t xml:space="preserve">No, there is not a common rubric to assign the scores.  Because the students in 206 are typically </w:t>
      </w:r>
      <w:proofErr w:type="gramStart"/>
      <w:r w:rsidRPr="003F120A">
        <w:rPr>
          <w:rFonts w:ascii="Times New Roman" w:hAnsi="Times New Roman" w:cs="Times New Roman"/>
          <w:b/>
          <w:bCs/>
          <w:szCs w:val="24"/>
          <w:shd w:val="clear" w:color="auto" w:fill="FFFFFF"/>
        </w:rPr>
        <w:t>Juniors</w:t>
      </w:r>
      <w:proofErr w:type="gramEnd"/>
      <w:r w:rsidRPr="003F120A">
        <w:rPr>
          <w:rFonts w:ascii="Times New Roman" w:hAnsi="Times New Roman" w:cs="Times New Roman"/>
          <w:b/>
          <w:bCs/>
          <w:szCs w:val="24"/>
          <w:shd w:val="clear" w:color="auto" w:fill="FFFFFF"/>
        </w:rPr>
        <w:t xml:space="preserve"> and in 212 students are mostly sophomores, the expectations are different (higher for Juniors than sophomores) also the course content and expectations are different, so again, difficult to standardize grades.  </w:t>
      </w:r>
      <w:r w:rsidRPr="003F120A">
        <w:rPr>
          <w:rFonts w:ascii="Times New Roman" w:hAnsi="Times New Roman" w:cs="Times New Roman"/>
          <w:b/>
          <w:bCs/>
          <w:szCs w:val="24"/>
          <w:shd w:val="clear" w:color="auto" w:fill="EA9999"/>
        </w:rPr>
        <w:t>Within a course, is there a rubric given to all the peer evaluators so that they each know what excellence at that level looks like?</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The heading for Learning Goal #4 is Content Knowledge: Core Chemistry, and its description mentions knowledge of the basic core as well as acquisition of a professional skill set.  However, these are not defined.   Has the department agreed on the elements of the basic core of chemistry and the requisite professional skill set?  </w:t>
      </w:r>
      <w:r w:rsidRPr="003F120A">
        <w:rPr>
          <w:rFonts w:ascii="Times New Roman" w:hAnsi="Times New Roman" w:cs="Times New Roman"/>
          <w:szCs w:val="24"/>
          <w:u w:val="single"/>
          <w:shd w:val="clear" w:color="auto" w:fill="FFFFFF"/>
        </w:rPr>
        <w:t>The only specific skills mentioned are writing acceptable reports, keeping adequate lab notebooks, and presenting research results.</w:t>
      </w:r>
      <w:r w:rsidRPr="003F120A">
        <w:rPr>
          <w:rFonts w:ascii="Times New Roman" w:hAnsi="Times New Roman" w:cs="Times New Roman"/>
          <w:b/>
          <w:bCs/>
          <w:szCs w:val="24"/>
          <w:shd w:val="clear" w:color="auto" w:fill="FFFFFF"/>
        </w:rPr>
        <w:t> Learning goal 4 does not mention specific skills.  In assessment of our alumni, we ask IF they are in research, we assume that they know how to identify the problem, design and carry out experiments.  </w:t>
      </w:r>
      <w:r w:rsidRPr="003F120A">
        <w:rPr>
          <w:rFonts w:ascii="Times New Roman" w:hAnsi="Times New Roman" w:cs="Times New Roman"/>
          <w:szCs w:val="24"/>
          <w:shd w:val="clear" w:color="auto" w:fill="FFFFFF"/>
        </w:rPr>
        <w:t xml:space="preserve">Is this the definition, or does the skill set also include skills specific to chemistry? </w:t>
      </w:r>
      <w:r w:rsidRPr="003F120A">
        <w:rPr>
          <w:rFonts w:ascii="Times New Roman" w:hAnsi="Times New Roman" w:cs="Times New Roman"/>
          <w:b/>
          <w:bCs/>
          <w:szCs w:val="24"/>
          <w:shd w:val="clear" w:color="auto" w:fill="FFFFFF"/>
        </w:rPr>
        <w:t>Yes, obviously, Core Chemistry includes skill related to chemistry knowledge and understanding. They are vague because the skills are varied and extensive depending on what area of chemistry they are pursuing.</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b/>
          <w:bCs/>
          <w:szCs w:val="24"/>
        </w:rPr>
        <w:t xml:space="preserve">The department defines basic core of chemistry to be content specific to our 206 and 300-level courses, in addition to those mentioned in Learning Goals 1 and 2.  </w:t>
      </w:r>
      <w:r w:rsidRPr="003F120A">
        <w:rPr>
          <w:rFonts w:ascii="Times New Roman" w:hAnsi="Times New Roman" w:cs="Times New Roman"/>
          <w:b/>
          <w:bCs/>
          <w:szCs w:val="24"/>
          <w:shd w:val="clear" w:color="auto" w:fill="EA9999"/>
        </w:rPr>
        <w:t>It would be useful for outside readers if you add this definition to the learning goal.</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xml:space="preserve">Direct as well as indirect measures are used for Learning Goals 2 and 3.  Learning Goal 1 has only a direct measure, which may be appropriate here, and the only method of assessment given for Learning Goal 4 is surveys of alumni, which are indirect.  Once this goal is better defined, assessment methods can be revisited. </w:t>
      </w:r>
      <w:r w:rsidRPr="003F120A">
        <w:rPr>
          <w:rFonts w:ascii="Times New Roman" w:hAnsi="Times New Roman" w:cs="Times New Roman"/>
          <w:b/>
          <w:bCs/>
          <w:szCs w:val="24"/>
          <w:shd w:val="clear" w:color="auto" w:fill="FFFFFF"/>
        </w:rPr>
        <w:t>We are planning on adding the ACS-DUCK08 exam, the 2008 Diagnostic of Undergraduate Chemistry Knowledge Exam.  This exam is designed for use at the end of an undergraduate chemistry major</w:t>
      </w:r>
      <w:r w:rsidRPr="003F120A">
        <w:rPr>
          <w:rFonts w:ascii="Times New Roman" w:hAnsi="Times New Roman" w:cs="Times New Roman"/>
          <w:szCs w:val="24"/>
          <w:shd w:val="clear" w:color="auto" w:fill="FFFFFF"/>
        </w:rPr>
        <w:t xml:space="preserve">. </w:t>
      </w:r>
      <w:r w:rsidRPr="003F120A">
        <w:rPr>
          <w:rFonts w:ascii="Times New Roman" w:hAnsi="Times New Roman" w:cs="Times New Roman"/>
          <w:b/>
          <w:bCs/>
          <w:szCs w:val="24"/>
          <w:shd w:val="clear" w:color="auto" w:fill="FFFFFF"/>
        </w:rPr>
        <w:t>ACS Chemistry graduate exam to our assessment plan, much like Biology does.  If we have an assessment day, this will be easy to implement.</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hAnsi="Times New Roman" w:cs="Times New Roman"/>
          <w:szCs w:val="24"/>
        </w:rPr>
      </w:pPr>
      <w:r w:rsidRPr="003F120A">
        <w:rPr>
          <w:rFonts w:ascii="Times New Roman" w:hAnsi="Times New Roman" w:cs="Times New Roman"/>
          <w:szCs w:val="24"/>
          <w:shd w:val="clear" w:color="auto" w:fill="FFFFFF"/>
        </w:rPr>
        <w:t> </w:t>
      </w:r>
    </w:p>
    <w:p w:rsidR="003F120A" w:rsidRPr="003F120A" w:rsidRDefault="003F120A" w:rsidP="003F120A">
      <w:pPr>
        <w:spacing w:after="0" w:line="240" w:lineRule="auto"/>
        <w:rPr>
          <w:rFonts w:ascii="Times New Roman" w:eastAsia="Times New Roman" w:hAnsi="Times New Roman" w:cs="Times New Roman"/>
          <w:szCs w:val="24"/>
        </w:rPr>
      </w:pPr>
      <w:r w:rsidRPr="003F120A">
        <w:rPr>
          <w:rFonts w:ascii="Times New Roman" w:eastAsia="Times New Roman" w:hAnsi="Times New Roman" w:cs="Times New Roman"/>
          <w:szCs w:val="24"/>
          <w:shd w:val="clear" w:color="auto" w:fill="FFFFFF"/>
        </w:rPr>
        <w:t xml:space="preserve">We look forward to reading how the data collection and analysis has gone, including how the data compare to that collected previously, and to learning how you have used the data. </w:t>
      </w:r>
      <w:r w:rsidRPr="003F120A">
        <w:rPr>
          <w:rFonts w:ascii="Times New Roman" w:eastAsia="Times New Roman" w:hAnsi="Times New Roman" w:cs="Times New Roman"/>
          <w:szCs w:val="24"/>
        </w:rPr>
        <w:br/>
      </w:r>
      <w:r w:rsidRPr="003F120A">
        <w:rPr>
          <w:rFonts w:ascii="Times New Roman" w:eastAsia="Times New Roman" w:hAnsi="Times New Roman" w:cs="Times New Roman"/>
          <w:szCs w:val="24"/>
        </w:rPr>
        <w:lastRenderedPageBreak/>
        <w:br w:type="textWrapping" w:clear="all"/>
      </w:r>
    </w:p>
    <w:p w:rsidR="003F120A" w:rsidRPr="003F120A" w:rsidRDefault="00E57476" w:rsidP="003F120A">
      <w:pPr>
        <w:spacing w:after="0" w:line="240" w:lineRule="auto"/>
        <w:rPr>
          <w:rFonts w:ascii="Times New Roman" w:eastAsia="Times New Roman" w:hAnsi="Times New Roman" w:cs="Times New Roman"/>
          <w:szCs w:val="24"/>
        </w:rPr>
      </w:pPr>
      <w:r w:rsidRPr="00E57476">
        <w:rPr>
          <w:rFonts w:ascii="Times New Roman" w:eastAsia="Times New Roman" w:hAnsi="Times New Roman" w:cs="Times New Roman"/>
          <w:szCs w:val="24"/>
        </w:rPr>
        <w:pict>
          <v:rect id="_x0000_i1025" style="width:0;height:.75pt" o:hrstd="t" o:hr="t" fillcolor="gray" stroked="f"/>
        </w:pict>
      </w:r>
    </w:p>
    <w:bookmarkStart w:id="1" w:name="_ftn1"/>
    <w:p w:rsidR="003F120A" w:rsidRPr="003F120A" w:rsidRDefault="00E57476" w:rsidP="003F120A">
      <w:pPr>
        <w:spacing w:after="0" w:line="240" w:lineRule="auto"/>
        <w:rPr>
          <w:rFonts w:ascii="Times New Roman" w:hAnsi="Times New Roman" w:cs="Times New Roman"/>
          <w:szCs w:val="24"/>
        </w:rPr>
      </w:pPr>
      <w:r w:rsidRPr="003F120A">
        <w:rPr>
          <w:rFonts w:ascii="Times New Roman" w:hAnsi="Times New Roman" w:cs="Times New Roman"/>
          <w:szCs w:val="24"/>
        </w:rPr>
        <w:fldChar w:fldCharType="begin"/>
      </w:r>
      <w:r w:rsidR="003F120A" w:rsidRPr="003F120A">
        <w:rPr>
          <w:rFonts w:ascii="Times New Roman" w:hAnsi="Times New Roman" w:cs="Times New Roman"/>
          <w:szCs w:val="24"/>
        </w:rPr>
        <w:instrText xml:space="preserve"> HYPERLINK "https://docs.google.com/a/albion.edu/Doc?docid=0AUaAHaCO2ORDZGh0bWJ0NXJfMWNoYnJudzM1&amp;hl=en" \l "_ftnref1" \o "" \t "_self" </w:instrText>
      </w:r>
      <w:r w:rsidRPr="003F120A">
        <w:rPr>
          <w:rFonts w:ascii="Times New Roman" w:hAnsi="Times New Roman" w:cs="Times New Roman"/>
          <w:szCs w:val="24"/>
        </w:rPr>
        <w:fldChar w:fldCharType="separate"/>
      </w:r>
      <w:r w:rsidR="003F120A" w:rsidRPr="003F120A">
        <w:rPr>
          <w:rFonts w:ascii="Times New Roman" w:hAnsi="Times New Roman" w:cs="Times New Roman"/>
          <w:color w:val="0000FF"/>
          <w:szCs w:val="24"/>
          <w:u w:val="single"/>
        </w:rPr>
        <w:t>[1]</w:t>
      </w:r>
      <w:r w:rsidRPr="003F120A">
        <w:rPr>
          <w:rFonts w:ascii="Times New Roman" w:hAnsi="Times New Roman" w:cs="Times New Roman"/>
          <w:szCs w:val="24"/>
        </w:rPr>
        <w:fldChar w:fldCharType="end"/>
      </w:r>
      <w:bookmarkEnd w:id="1"/>
      <w:r w:rsidR="003F120A" w:rsidRPr="003F120A">
        <w:rPr>
          <w:rFonts w:ascii="Times New Roman" w:hAnsi="Times New Roman" w:cs="Times New Roman"/>
          <w:szCs w:val="24"/>
        </w:rPr>
        <w:t xml:space="preserve"> </w:t>
      </w:r>
      <w:r w:rsidR="003F120A" w:rsidRPr="003F120A">
        <w:rPr>
          <w:rFonts w:ascii="Times New Roman" w:hAnsi="Times New Roman" w:cs="Times New Roman"/>
          <w:i/>
          <w:iCs/>
          <w:szCs w:val="24"/>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3F120A" w:rsidRPr="003F120A" w:rsidRDefault="003F120A" w:rsidP="003F120A">
      <w:pPr>
        <w:spacing w:after="0" w:line="240" w:lineRule="auto"/>
        <w:rPr>
          <w:rFonts w:ascii="Times New Roman" w:eastAsia="Times New Roman" w:hAnsi="Times New Roman" w:cs="Times New Roman"/>
          <w:szCs w:val="24"/>
        </w:rPr>
      </w:pPr>
      <w:r w:rsidRPr="003F120A">
        <w:rPr>
          <w:rFonts w:ascii="Times New Roman" w:eastAsia="Times New Roman" w:hAnsi="Times New Roman" w:cs="Times New Roman"/>
          <w:szCs w:val="24"/>
          <w:shd w:val="clear" w:color="auto" w:fill="FFFFFF"/>
        </w:rPr>
        <w:t> </w:t>
      </w:r>
    </w:p>
    <w:p w:rsidR="00792DAA" w:rsidRDefault="00792DAA">
      <w:pPr>
        <w:rPr>
          <w:rFonts w:ascii="Times New Roman" w:hAnsi="Times New Roman" w:cs="Times New Roman"/>
          <w:szCs w:val="24"/>
        </w:rPr>
      </w:pPr>
    </w:p>
    <w:p w:rsidR="006815D5" w:rsidRDefault="006815D5" w:rsidP="006815D5">
      <w:pPr>
        <w:pStyle w:val="NoSpacing"/>
      </w:pPr>
    </w:p>
    <w:p w:rsidR="006815D5" w:rsidRPr="006815D5" w:rsidRDefault="006815D5" w:rsidP="006815D5">
      <w:pPr>
        <w:pStyle w:val="NoSpacing"/>
        <w:jc w:val="center"/>
        <w:rPr>
          <w:rFonts w:ascii="Times New Roman" w:hAnsi="Times New Roman" w:cs="Times New Roman"/>
          <w:b/>
          <w:u w:val="single"/>
        </w:rPr>
      </w:pPr>
      <w:r w:rsidRPr="006815D5">
        <w:rPr>
          <w:rFonts w:ascii="Times New Roman" w:hAnsi="Times New Roman" w:cs="Times New Roman"/>
          <w:b/>
          <w:u w:val="single"/>
        </w:rPr>
        <w:t>Fall 2009</w:t>
      </w:r>
    </w:p>
    <w:p w:rsidR="006815D5" w:rsidRDefault="006815D5" w:rsidP="006815D5">
      <w:pPr>
        <w:pStyle w:val="NoSpacing"/>
        <w:jc w:val="center"/>
      </w:pPr>
    </w:p>
    <w:p w:rsidR="006815D5" w:rsidRPr="006815D5" w:rsidRDefault="006815D5" w:rsidP="006815D5">
      <w:pPr>
        <w:pStyle w:val="NoSpacing"/>
      </w:pPr>
      <w:r w:rsidRPr="00B03C3C">
        <w:rPr>
          <w:rFonts w:ascii="Times New Roman" w:eastAsia="Times New Roman" w:hAnsi="Times New Roman" w:cs="Times New Roman"/>
          <w:b/>
          <w:bCs/>
          <w:szCs w:val="24"/>
        </w:rPr>
        <w:t>Chemistry Department</w:t>
      </w:r>
      <w:proofErr w:type="gramStart"/>
      <w:r w:rsidRPr="00B03C3C">
        <w:rPr>
          <w:rFonts w:ascii="Times New Roman" w:eastAsia="Times New Roman" w:hAnsi="Times New Roman" w:cs="Times New Roman"/>
          <w:b/>
          <w:bCs/>
          <w:szCs w:val="24"/>
        </w:rPr>
        <w:t>:</w:t>
      </w:r>
      <w:proofErr w:type="gramEnd"/>
      <w:r w:rsidRPr="00B03C3C">
        <w:rPr>
          <w:rFonts w:ascii="Times New Roman" w:eastAsia="Times New Roman" w:hAnsi="Times New Roman" w:cs="Times New Roman"/>
          <w:szCs w:val="24"/>
        </w:rPr>
        <w:br/>
        <w:t xml:space="preserve">I've finished reviewing your department's assessment report for fall 2009, and want to commend you for your excellent work.  I've marked your plan on Google docs with some comments in a pinkish color, but they are mostly quibbles.  Your department has a history of taking assessment seriously, and your use of nationally standardized measures is excellent.  My main comment is a request for you to include the data in your report next spring, showing, for example, the results of your survey of alumni.  </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Overall, though, Chemistry is exemplary for conducting assessment at both the course and program level, and from the introductory to the alumni level.</w:t>
      </w:r>
    </w:p>
    <w:sectPr w:rsidR="006815D5" w:rsidRPr="006815D5"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20A"/>
    <w:rsid w:val="000D302F"/>
    <w:rsid w:val="003F120A"/>
    <w:rsid w:val="005753CF"/>
    <w:rsid w:val="005D26A2"/>
    <w:rsid w:val="006815D5"/>
    <w:rsid w:val="007854DE"/>
    <w:rsid w:val="00792DAA"/>
    <w:rsid w:val="0085283C"/>
    <w:rsid w:val="00E57476"/>
    <w:rsid w:val="00EE7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3F12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3F120A"/>
    <w:rPr>
      <w:rFonts w:ascii="Times New Roman" w:eastAsia="Times New Roman" w:hAnsi="Times New Roman" w:cs="Times New Roman"/>
      <w:b/>
      <w:bCs/>
      <w:sz w:val="27"/>
      <w:szCs w:val="27"/>
    </w:rPr>
  </w:style>
  <w:style w:type="character" w:styleId="FootnoteReference">
    <w:name w:val="footnote reference"/>
    <w:basedOn w:val="DefaultParagraphFont"/>
    <w:uiPriority w:val="99"/>
    <w:semiHidden/>
    <w:unhideWhenUsed/>
    <w:rsid w:val="003F120A"/>
  </w:style>
  <w:style w:type="paragraph" w:styleId="FootnoteText">
    <w:name w:val="footnote text"/>
    <w:basedOn w:val="Normal"/>
    <w:link w:val="FootnoteTextChar"/>
    <w:uiPriority w:val="99"/>
    <w:semiHidden/>
    <w:unhideWhenUsed/>
    <w:rsid w:val="003F120A"/>
    <w:pPr>
      <w:spacing w:before="100" w:beforeAutospacing="1" w:after="100" w:afterAutospacing="1" w:line="240" w:lineRule="auto"/>
    </w:pPr>
    <w:rPr>
      <w:rFonts w:ascii="Times New Roman" w:eastAsia="Times New Roman" w:hAnsi="Times New Roman" w:cs="Times New Roman"/>
      <w:szCs w:val="24"/>
    </w:rPr>
  </w:style>
  <w:style w:type="character" w:customStyle="1" w:styleId="FootnoteTextChar">
    <w:name w:val="Footnote Text Char"/>
    <w:basedOn w:val="DefaultParagraphFont"/>
    <w:link w:val="FootnoteText"/>
    <w:uiPriority w:val="99"/>
    <w:semiHidden/>
    <w:rsid w:val="003F12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92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1271</Words>
  <Characters>7251</Characters>
  <Application>Microsoft Office Word</Application>
  <DocSecurity>0</DocSecurity>
  <Lines>60</Lines>
  <Paragraphs>17</Paragraphs>
  <ScaleCrop>false</ScaleCrop>
  <Company>Albion College</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dcterms:created xsi:type="dcterms:W3CDTF">2010-03-17T15:09:00Z</dcterms:created>
  <dcterms:modified xsi:type="dcterms:W3CDTF">2010-03-22T18:36:00Z</dcterms:modified>
</cp:coreProperties>
</file>